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DB" w:rsidRPr="009A30E1" w:rsidRDefault="003E0AA7" w:rsidP="00A6671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r w:rsidRPr="009A30E1">
        <w:rPr>
          <w:sz w:val="28"/>
          <w:szCs w:val="28"/>
        </w:rPr>
        <w:t>ПРОДОВОЛЬСТВЕННАЯ БЕЗОПАСНОСТЬ КАК ЭЛЕМЕНТ СИСТЕМЫ РЕГИОНАЛЬНОЙ ЭКОНОМИЧЕСКОЙ БЕЗОПАСНОСТИ</w:t>
      </w:r>
      <w:bookmarkEnd w:id="0"/>
      <w:r w:rsidRPr="009A30E1">
        <w:rPr>
          <w:sz w:val="28"/>
          <w:szCs w:val="28"/>
        </w:rPr>
        <w:t>: КРИТЕРИИ И ПОДХОДЫ К ОЦЕНКЕ</w:t>
      </w:r>
      <w:r>
        <w:rPr>
          <w:sz w:val="28"/>
          <w:szCs w:val="28"/>
        </w:rPr>
        <w:t xml:space="preserve"> (НА МАТЕРИАЛАХ ВОЛОГОДСКОЙ ОБЛАСТИ)</w:t>
      </w:r>
      <w:r w:rsidRPr="009A30E1">
        <w:rPr>
          <w:sz w:val="28"/>
          <w:szCs w:val="28"/>
        </w:rPr>
        <w:t>.</w:t>
      </w:r>
    </w:p>
    <w:p w:rsidR="009A30E1" w:rsidRDefault="009A30E1" w:rsidP="00BB63E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A30E1">
        <w:rPr>
          <w:sz w:val="28"/>
          <w:szCs w:val="28"/>
        </w:rPr>
        <w:t>Моронова</w:t>
      </w:r>
      <w:r>
        <w:rPr>
          <w:sz w:val="28"/>
          <w:szCs w:val="28"/>
        </w:rPr>
        <w:t xml:space="preserve"> О</w:t>
      </w:r>
      <w:r w:rsidR="003E0AA7">
        <w:rPr>
          <w:sz w:val="28"/>
          <w:szCs w:val="28"/>
        </w:rPr>
        <w:t xml:space="preserve">ксана </w:t>
      </w:r>
      <w:r>
        <w:rPr>
          <w:sz w:val="28"/>
          <w:szCs w:val="28"/>
        </w:rPr>
        <w:t>Г</w:t>
      </w:r>
      <w:r w:rsidR="003E0AA7">
        <w:rPr>
          <w:sz w:val="28"/>
          <w:szCs w:val="28"/>
        </w:rPr>
        <w:t>ригорьевна,</w:t>
      </w:r>
    </w:p>
    <w:p w:rsidR="009A30E1" w:rsidRDefault="003E0AA7" w:rsidP="00BB63E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9A30E1">
        <w:rPr>
          <w:sz w:val="28"/>
          <w:szCs w:val="28"/>
        </w:rPr>
        <w:t>оцент</w:t>
      </w:r>
      <w:r>
        <w:rPr>
          <w:sz w:val="28"/>
          <w:szCs w:val="28"/>
        </w:rPr>
        <w:t>, кандидат экономических наук, доцент,</w:t>
      </w:r>
    </w:p>
    <w:p w:rsidR="009A30E1" w:rsidRDefault="009A30E1" w:rsidP="00BB63E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Вологодский государственный университет, г. Вологда</w:t>
      </w:r>
    </w:p>
    <w:p w:rsidR="009A30E1" w:rsidRPr="003E0AA7" w:rsidRDefault="009A30E1" w:rsidP="00311A1C">
      <w:pPr>
        <w:widowControl w:val="0"/>
        <w:spacing w:line="360" w:lineRule="auto"/>
        <w:ind w:firstLine="709"/>
        <w:jc w:val="both"/>
      </w:pPr>
      <w:r w:rsidRPr="003E0AA7">
        <w:rPr>
          <w:b/>
        </w:rPr>
        <w:t>Аннотация</w:t>
      </w:r>
      <w:r w:rsidRPr="003E0AA7">
        <w:t>:</w:t>
      </w:r>
      <w:r w:rsidR="00311A1C" w:rsidRPr="003E0AA7">
        <w:t xml:space="preserve"> </w:t>
      </w:r>
      <w:proofErr w:type="gramStart"/>
      <w:r w:rsidR="00311A1C" w:rsidRPr="003E0AA7">
        <w:t>В</w:t>
      </w:r>
      <w:proofErr w:type="gramEnd"/>
      <w:r w:rsidR="00311A1C" w:rsidRPr="003E0AA7">
        <w:t xml:space="preserve"> статье рассматриваются вопросы влияния уровня региональной продовольственной безопасности на экономическую безопасность территории. Обобщаются данные государственной статистики, характеризующие тенденции продовольственной безопасности населения Вологодской области, обосновывается выбор пороговых значений</w:t>
      </w:r>
      <w:r w:rsidR="007869FC" w:rsidRPr="003E0AA7">
        <w:t xml:space="preserve"> для оценки</w:t>
      </w:r>
      <w:r w:rsidR="00311A1C" w:rsidRPr="003E0AA7">
        <w:t xml:space="preserve"> и влияние доходов населения </w:t>
      </w:r>
      <w:r w:rsidR="007869FC" w:rsidRPr="003E0AA7">
        <w:t>уровень продовольственной безопасности</w:t>
      </w:r>
      <w:r w:rsidR="00311A1C" w:rsidRPr="003E0AA7">
        <w:t>. На основе анализа</w:t>
      </w:r>
      <w:r w:rsidR="007869FC" w:rsidRPr="003E0AA7">
        <w:t xml:space="preserve"> уровня потребления продовольствия различными социальными группами населения,</w:t>
      </w:r>
      <w:r w:rsidR="00311A1C" w:rsidRPr="003E0AA7">
        <w:t xml:space="preserve"> автор приходит к выводу, что кризисные тенденции в </w:t>
      </w:r>
      <w:r w:rsidR="007869FC" w:rsidRPr="003E0AA7">
        <w:t>доступности качественного продовольствия для всех социально-экономических групп преодолены не полностью, продовольственная безопасность домохозяйств существенно различается в зависимости от уровня доходов и состава семьи</w:t>
      </w:r>
      <w:r w:rsidR="00311A1C" w:rsidRPr="003E0AA7">
        <w:t xml:space="preserve">, </w:t>
      </w:r>
      <w:r w:rsidR="007869FC" w:rsidRPr="003E0AA7">
        <w:t>и</w:t>
      </w:r>
      <w:r w:rsidR="00311A1C" w:rsidRPr="003E0AA7">
        <w:t xml:space="preserve"> как следствие, выступает препятствием роста региональной </w:t>
      </w:r>
      <w:r w:rsidR="007869FC" w:rsidRPr="003E0AA7">
        <w:t>экономической безопасности.</w:t>
      </w:r>
    </w:p>
    <w:p w:rsidR="003E0AA7" w:rsidRPr="003E0AA7" w:rsidRDefault="003E0AA7" w:rsidP="003E0AA7">
      <w:pPr>
        <w:widowControl w:val="0"/>
        <w:spacing w:line="360" w:lineRule="auto"/>
        <w:ind w:firstLine="709"/>
        <w:jc w:val="both"/>
      </w:pPr>
      <w:r w:rsidRPr="003E0AA7">
        <w:rPr>
          <w:b/>
        </w:rPr>
        <w:t>Ключевые слова</w:t>
      </w:r>
      <w:r w:rsidRPr="003E0AA7">
        <w:t>: экономическая безопасность, продовольственная безопасность, экономическая доступность продовольствия, пороговые значения для оценки уровня продовольственной безопасности</w:t>
      </w:r>
      <w:r>
        <w:t>.</w:t>
      </w:r>
      <w:r w:rsidRPr="003E0AA7">
        <w:t xml:space="preserve"> </w:t>
      </w:r>
    </w:p>
    <w:p w:rsidR="009A30E1" w:rsidRDefault="009A30E1" w:rsidP="00BB63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30E1">
        <w:rPr>
          <w:sz w:val="28"/>
          <w:szCs w:val="28"/>
        </w:rPr>
        <w:t xml:space="preserve">Экономическую безопасность </w:t>
      </w:r>
      <w:r w:rsidR="00365958">
        <w:rPr>
          <w:sz w:val="28"/>
          <w:szCs w:val="28"/>
        </w:rPr>
        <w:t>традиционно исследуют применительно к трем уровням субъектно-объектных отношений</w:t>
      </w:r>
      <w:r w:rsidRPr="009A30E1">
        <w:rPr>
          <w:sz w:val="28"/>
          <w:szCs w:val="28"/>
        </w:rPr>
        <w:t>: территории (стране, региону</w:t>
      </w:r>
      <w:r w:rsidR="00365958">
        <w:rPr>
          <w:sz w:val="28"/>
          <w:szCs w:val="28"/>
        </w:rPr>
        <w:t xml:space="preserve">, реже </w:t>
      </w:r>
      <w:r w:rsidR="00363271">
        <w:rPr>
          <w:sz w:val="28"/>
          <w:szCs w:val="28"/>
        </w:rPr>
        <w:t>–</w:t>
      </w:r>
      <w:r w:rsidR="00365958">
        <w:rPr>
          <w:sz w:val="28"/>
          <w:szCs w:val="28"/>
        </w:rPr>
        <w:t xml:space="preserve"> муниципалитету</w:t>
      </w:r>
      <w:r w:rsidRPr="009A30E1">
        <w:rPr>
          <w:sz w:val="28"/>
          <w:szCs w:val="28"/>
        </w:rPr>
        <w:t>),</w:t>
      </w:r>
      <w:r w:rsidR="00365958">
        <w:rPr>
          <w:sz w:val="28"/>
          <w:szCs w:val="28"/>
        </w:rPr>
        <w:t xml:space="preserve"> организации (коммерческой или социально ориентированной)</w:t>
      </w:r>
      <w:r w:rsidRPr="009A30E1">
        <w:rPr>
          <w:sz w:val="28"/>
          <w:szCs w:val="28"/>
        </w:rPr>
        <w:t xml:space="preserve"> и </w:t>
      </w:r>
      <w:r w:rsidR="00365958">
        <w:rPr>
          <w:sz w:val="28"/>
          <w:szCs w:val="28"/>
        </w:rPr>
        <w:t>личности (домохозяйству)</w:t>
      </w:r>
      <w:r w:rsidR="00365958" w:rsidRPr="00365958">
        <w:t xml:space="preserve"> </w:t>
      </w:r>
      <w:r w:rsidR="00365958" w:rsidRPr="00365958">
        <w:rPr>
          <w:sz w:val="28"/>
          <w:szCs w:val="28"/>
        </w:rPr>
        <w:t>[1].</w:t>
      </w:r>
      <w:r w:rsidRPr="009A30E1">
        <w:rPr>
          <w:sz w:val="28"/>
          <w:szCs w:val="28"/>
        </w:rPr>
        <w:t xml:space="preserve"> </w:t>
      </w:r>
      <w:r w:rsidR="00365958">
        <w:rPr>
          <w:sz w:val="28"/>
          <w:szCs w:val="28"/>
        </w:rPr>
        <w:t xml:space="preserve">Но исследование исторически сложившихся подходов к ее оценке позволяет говорить о системной взаимосвязи и взаимоопределяющем влиянии каждого уровня на устойчивость системы в целом. И если изначально приоритетом исследований выступала именно территория (чаще всего – государство), в силу ориентации на такие функциональные составляющие как </w:t>
      </w:r>
      <w:r w:rsidR="00BB63E7">
        <w:rPr>
          <w:sz w:val="28"/>
          <w:szCs w:val="28"/>
        </w:rPr>
        <w:t xml:space="preserve">политический и экономический суверенитет, </w:t>
      </w:r>
      <w:r w:rsidR="00365958">
        <w:rPr>
          <w:sz w:val="28"/>
          <w:szCs w:val="28"/>
        </w:rPr>
        <w:t xml:space="preserve">военная безопасность, темпы экономического </w:t>
      </w:r>
      <w:r w:rsidR="003E0AA7">
        <w:rPr>
          <w:sz w:val="28"/>
          <w:szCs w:val="28"/>
        </w:rPr>
        <w:t>роста, защита</w:t>
      </w:r>
      <w:r w:rsidR="00BB63E7">
        <w:rPr>
          <w:sz w:val="28"/>
          <w:szCs w:val="28"/>
        </w:rPr>
        <w:t xml:space="preserve"> внутреннего рынка и т.д., то, в настоящее время, акценты постепенно смещаются к экономической безопасности личности, поскольку потенциал государства, в том числе экономический, неразрывно связан с уровнем и </w:t>
      </w:r>
      <w:r w:rsidR="00BB63E7">
        <w:rPr>
          <w:sz w:val="28"/>
          <w:szCs w:val="28"/>
        </w:rPr>
        <w:lastRenderedPageBreak/>
        <w:t xml:space="preserve">качеством жизни населения. </w:t>
      </w:r>
    </w:p>
    <w:p w:rsidR="00BB63E7" w:rsidRDefault="00BB63E7" w:rsidP="00BB63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системы приоритетов в оценке экономической безопасности привело к ротации в иерархии оцениваемых функциональных областей, смещению акцентов в сторону демографической составляющей и элементов, оценивающих условия жизни населения в рамках локальных территориальных образований, будь то государство или муниципальное образование. Одной из проблем данного подход</w:t>
      </w:r>
      <w:r w:rsidR="00D8195A">
        <w:rPr>
          <w:sz w:val="28"/>
          <w:szCs w:val="28"/>
        </w:rPr>
        <w:t>а</w:t>
      </w:r>
      <w:r>
        <w:rPr>
          <w:sz w:val="28"/>
          <w:szCs w:val="28"/>
        </w:rPr>
        <w:t xml:space="preserve"> является многоаспектность условий, которые целесообразно учитывать при оценке уровня и качества жизни населения. </w:t>
      </w:r>
      <w:r w:rsidR="008C1252">
        <w:rPr>
          <w:sz w:val="28"/>
          <w:szCs w:val="28"/>
        </w:rPr>
        <w:t>Они включают уровень доходов, обеспеченность социальными благами, в соответствии с общегосударственными стандартами (количественными и качественными), условия развития трудового и демографического потенциала территории, качество и безопасность среды проживания, демографическую составляющую и др. Это приводит к разнообразию авторских подходов в оценке экономической безопасности</w:t>
      </w:r>
      <w:r w:rsidR="00D8195A">
        <w:rPr>
          <w:sz w:val="28"/>
          <w:szCs w:val="28"/>
        </w:rPr>
        <w:t>,</w:t>
      </w:r>
      <w:r w:rsidR="008C1252">
        <w:rPr>
          <w:sz w:val="28"/>
          <w:szCs w:val="28"/>
        </w:rPr>
        <w:t xml:space="preserve"> как личности, так и территории. </w:t>
      </w:r>
    </w:p>
    <w:p w:rsidR="008C1252" w:rsidRDefault="008C1252" w:rsidP="00BB63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не смотря на многоаспектность, подавляющее большинство исследователей </w:t>
      </w:r>
      <w:r w:rsidR="00A25111">
        <w:rPr>
          <w:sz w:val="28"/>
          <w:szCs w:val="28"/>
        </w:rPr>
        <w:t>в качестве одного из</w:t>
      </w:r>
      <w:r>
        <w:rPr>
          <w:sz w:val="28"/>
          <w:szCs w:val="28"/>
        </w:rPr>
        <w:t xml:space="preserve"> ключев</w:t>
      </w:r>
      <w:r w:rsidR="00A25111">
        <w:rPr>
          <w:sz w:val="28"/>
          <w:szCs w:val="28"/>
        </w:rPr>
        <w:t>ых</w:t>
      </w:r>
      <w:r>
        <w:rPr>
          <w:sz w:val="28"/>
          <w:szCs w:val="28"/>
        </w:rPr>
        <w:t xml:space="preserve"> элемент</w:t>
      </w:r>
      <w:r w:rsidR="00A2511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25111">
        <w:rPr>
          <w:sz w:val="28"/>
          <w:szCs w:val="28"/>
        </w:rPr>
        <w:t xml:space="preserve">оценки рассматривают продовольственную безопасность, как фактор, влияющий на уровень безопасности домохозяйств, регионов и государства. </w:t>
      </w:r>
      <w:r w:rsidR="00D8195A">
        <w:rPr>
          <w:sz w:val="28"/>
          <w:szCs w:val="28"/>
        </w:rPr>
        <w:t xml:space="preserve">Причина заключается в устойчивом воздействии на все уровни безопасности территории и определяющем воздействии на качество жизни человека – поскольку удовлетворение первичных физиологических потребностей остается основой выживания биологических объектов. Таким образом, продовольственная безопасность выступает основой экономической безопасности территории, в том числе и на уровне региона. </w:t>
      </w:r>
      <w:r w:rsidR="00790F1E">
        <w:rPr>
          <w:sz w:val="28"/>
          <w:szCs w:val="28"/>
        </w:rPr>
        <w:t>Но принципиальное отличие регионального уровня заключается в открытости социально – экономической системы, невозможности и нецелесообразности ограничения единства продовольственного рынка и установления барьеров внутри государства. Следовательно, уровень самообеспечения потребности в продовольственных ресурсах будет иметь существенно меньшее значение, чем при оценке  продовольственной безопасности государства</w:t>
      </w:r>
      <w:r w:rsidR="00A6671A">
        <w:rPr>
          <w:sz w:val="28"/>
          <w:szCs w:val="28"/>
        </w:rPr>
        <w:t xml:space="preserve">, хотя региональная независимость в обеспечении основными видами продовольствия сохраняет свое </w:t>
      </w:r>
      <w:r w:rsidR="00A6671A">
        <w:rPr>
          <w:sz w:val="28"/>
          <w:szCs w:val="28"/>
        </w:rPr>
        <w:lastRenderedPageBreak/>
        <w:t>значение в комплексной оценке</w:t>
      </w:r>
      <w:r w:rsidR="00790F1E">
        <w:rPr>
          <w:sz w:val="28"/>
          <w:szCs w:val="28"/>
        </w:rPr>
        <w:t xml:space="preserve">. </w:t>
      </w:r>
      <w:r w:rsidR="00A6671A">
        <w:rPr>
          <w:sz w:val="28"/>
          <w:szCs w:val="28"/>
        </w:rPr>
        <w:t xml:space="preserve">Поскольку принципиальным отличием оценки уровня экономической безопасности региона от анализа социально-экономического развития большинство авторов считает введение пороговых значений и сравнение текущих показателей, достигнутых на определенной территории с минимально допустимыми или целевыми ориентирами, важнейшим аспектом выступает вопрос их определения. В рамках данного исследования в качестве пороговых значений </w:t>
      </w:r>
      <w:r w:rsidR="00790F1E">
        <w:rPr>
          <w:sz w:val="28"/>
          <w:szCs w:val="28"/>
        </w:rPr>
        <w:t xml:space="preserve"> выступают биологически обоснованны</w:t>
      </w:r>
      <w:r w:rsidR="00A6671A">
        <w:rPr>
          <w:sz w:val="28"/>
          <w:szCs w:val="28"/>
        </w:rPr>
        <w:t>е</w:t>
      </w:r>
      <w:r w:rsidR="00790F1E">
        <w:rPr>
          <w:sz w:val="28"/>
          <w:szCs w:val="28"/>
        </w:rPr>
        <w:t xml:space="preserve"> норм</w:t>
      </w:r>
      <w:r w:rsidR="00A6671A">
        <w:rPr>
          <w:sz w:val="28"/>
          <w:szCs w:val="28"/>
        </w:rPr>
        <w:t>ы, разработанные Институтом питания РАМН, поскольку именно рационально обоснованные нормы потребления продовольствия традиционно используются в качестве базы для расчета потребности в продовольствии, оценки уровня региональной и национальной продовольственной независимости. Вместе с тем,  следует отметить, что усредненные нормативы не учитывают территориальной и национальной специфики и сам вопрос сбалансированности норм питания следует рассматривать с учетом дифференциации по половозрастным группам населения и степени интенсивности труда, что  повысило бы достоверность полученных результатов.</w:t>
      </w:r>
    </w:p>
    <w:p w:rsidR="00A6671A" w:rsidRDefault="00A6671A" w:rsidP="00BB63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среднедушевого потребления основных продуктов питания в Вологодской области показал устойчивый рост, как с точки зрения количественных показателей, так и по качеству рациона (таблица 1).</w:t>
      </w:r>
    </w:p>
    <w:p w:rsidR="00790F1E" w:rsidRPr="003E0AA7" w:rsidRDefault="00790F1E" w:rsidP="00E66349">
      <w:pPr>
        <w:widowControl w:val="0"/>
        <w:spacing w:line="360" w:lineRule="auto"/>
        <w:jc w:val="both"/>
      </w:pPr>
      <w:r w:rsidRPr="003E0AA7">
        <w:t>Таблица 1- Динамика потребления основных видов продовольствия в регионе</w:t>
      </w:r>
    </w:p>
    <w:tbl>
      <w:tblPr>
        <w:tblStyle w:val="aa"/>
        <w:tblW w:w="4900" w:type="pct"/>
        <w:jc w:val="center"/>
        <w:tblLook w:val="04A0" w:firstRow="1" w:lastRow="0" w:firstColumn="1" w:lastColumn="0" w:noHBand="0" w:noVBand="1"/>
      </w:tblPr>
      <w:tblGrid>
        <w:gridCol w:w="3635"/>
        <w:gridCol w:w="1091"/>
        <w:gridCol w:w="1091"/>
        <w:gridCol w:w="1091"/>
        <w:gridCol w:w="1091"/>
        <w:gridCol w:w="1091"/>
        <w:gridCol w:w="1123"/>
      </w:tblGrid>
      <w:tr w:rsidR="00A6671A" w:rsidRPr="00790F1E" w:rsidTr="00A6671A">
        <w:trPr>
          <w:jc w:val="center"/>
        </w:trPr>
        <w:tc>
          <w:tcPr>
            <w:tcW w:w="3635" w:type="dxa"/>
            <w:vMerge w:val="restart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t>Показатель</w:t>
            </w:r>
          </w:p>
        </w:tc>
        <w:tc>
          <w:tcPr>
            <w:tcW w:w="5455" w:type="dxa"/>
            <w:gridSpan w:val="5"/>
          </w:tcPr>
          <w:p w:rsidR="00A6671A" w:rsidRDefault="00A6671A" w:rsidP="00790F1E">
            <w:pPr>
              <w:widowControl w:val="0"/>
              <w:jc w:val="center"/>
            </w:pPr>
            <w:r>
              <w:t xml:space="preserve">Годы </w:t>
            </w:r>
          </w:p>
        </w:tc>
        <w:tc>
          <w:tcPr>
            <w:tcW w:w="1123" w:type="dxa"/>
            <w:vMerge w:val="restart"/>
          </w:tcPr>
          <w:p w:rsidR="00A6671A" w:rsidRPr="00A6671A" w:rsidRDefault="00A6671A" w:rsidP="00790F1E">
            <w:pPr>
              <w:widowControl w:val="0"/>
              <w:jc w:val="center"/>
              <w:rPr>
                <w:sz w:val="22"/>
                <w:szCs w:val="22"/>
              </w:rPr>
            </w:pPr>
            <w:r w:rsidRPr="00A6671A">
              <w:rPr>
                <w:sz w:val="22"/>
                <w:szCs w:val="22"/>
              </w:rPr>
              <w:t>2018 г. к 2000 г.,%</w:t>
            </w:r>
          </w:p>
        </w:tc>
      </w:tr>
      <w:tr w:rsidR="00A6671A" w:rsidRPr="00790F1E" w:rsidTr="00A6671A">
        <w:trPr>
          <w:jc w:val="center"/>
        </w:trPr>
        <w:tc>
          <w:tcPr>
            <w:tcW w:w="3635" w:type="dxa"/>
            <w:vMerge/>
          </w:tcPr>
          <w:p w:rsidR="00A6671A" w:rsidRPr="00790F1E" w:rsidRDefault="00A6671A" w:rsidP="00790F1E">
            <w:pPr>
              <w:widowControl w:val="0"/>
              <w:jc w:val="both"/>
            </w:pP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123" w:type="dxa"/>
            <w:vMerge/>
          </w:tcPr>
          <w:p w:rsidR="00A6671A" w:rsidRDefault="00A6671A" w:rsidP="00790F1E">
            <w:pPr>
              <w:widowControl w:val="0"/>
              <w:jc w:val="center"/>
            </w:pP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E66349">
            <w:pPr>
              <w:widowControl w:val="0"/>
            </w:pPr>
            <w:r>
              <w:t>Хлебные продукты</w:t>
            </w:r>
          </w:p>
        </w:tc>
        <w:tc>
          <w:tcPr>
            <w:tcW w:w="1091" w:type="dxa"/>
          </w:tcPr>
          <w:p w:rsidR="00A6671A" w:rsidRPr="002A6C17" w:rsidRDefault="00A6671A" w:rsidP="00CC7454">
            <w:pPr>
              <w:jc w:val="center"/>
            </w:pPr>
            <w:r w:rsidRPr="002A6C17">
              <w:t>118</w:t>
            </w:r>
          </w:p>
        </w:tc>
        <w:tc>
          <w:tcPr>
            <w:tcW w:w="1091" w:type="dxa"/>
          </w:tcPr>
          <w:p w:rsidR="00A6671A" w:rsidRPr="002A6C17" w:rsidRDefault="00A6671A" w:rsidP="00CC7454">
            <w:pPr>
              <w:jc w:val="center"/>
            </w:pPr>
            <w:r w:rsidRPr="002A6C17">
              <w:t>128</w:t>
            </w:r>
          </w:p>
        </w:tc>
        <w:tc>
          <w:tcPr>
            <w:tcW w:w="1091" w:type="dxa"/>
          </w:tcPr>
          <w:p w:rsidR="00A6671A" w:rsidRDefault="00A6671A" w:rsidP="00CC7454">
            <w:pPr>
              <w:jc w:val="center"/>
            </w:pPr>
            <w:r w:rsidRPr="002A6C17">
              <w:t>125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108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108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790F1E">
            <w:pPr>
              <w:widowControl w:val="0"/>
              <w:jc w:val="both"/>
            </w:pPr>
            <w:r>
              <w:t>Картофель</w:t>
            </w:r>
          </w:p>
        </w:tc>
        <w:tc>
          <w:tcPr>
            <w:tcW w:w="1091" w:type="dxa"/>
          </w:tcPr>
          <w:p w:rsidR="00A6671A" w:rsidRPr="0098424D" w:rsidRDefault="00A6671A" w:rsidP="00E66349">
            <w:pPr>
              <w:jc w:val="center"/>
            </w:pPr>
            <w:r w:rsidRPr="0098424D">
              <w:t>166</w:t>
            </w:r>
          </w:p>
        </w:tc>
        <w:tc>
          <w:tcPr>
            <w:tcW w:w="1091" w:type="dxa"/>
          </w:tcPr>
          <w:p w:rsidR="00A6671A" w:rsidRPr="0098424D" w:rsidRDefault="00A6671A" w:rsidP="00E66349">
            <w:pPr>
              <w:jc w:val="center"/>
            </w:pPr>
            <w:r w:rsidRPr="0098424D">
              <w:t>110</w:t>
            </w:r>
          </w:p>
        </w:tc>
        <w:tc>
          <w:tcPr>
            <w:tcW w:w="1091" w:type="dxa"/>
          </w:tcPr>
          <w:p w:rsidR="00A6671A" w:rsidRDefault="00A6671A" w:rsidP="00E66349">
            <w:pPr>
              <w:jc w:val="center"/>
            </w:pPr>
            <w:r w:rsidRPr="0098424D">
              <w:t>77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87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80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790F1E">
            <w:pPr>
              <w:widowControl w:val="0"/>
              <w:jc w:val="both"/>
            </w:pPr>
            <w:r>
              <w:t>Овощи и бахчевые</w:t>
            </w:r>
          </w:p>
        </w:tc>
        <w:tc>
          <w:tcPr>
            <w:tcW w:w="1091" w:type="dxa"/>
          </w:tcPr>
          <w:p w:rsidR="00A6671A" w:rsidRPr="00110C6C" w:rsidRDefault="00A6671A" w:rsidP="00E66349">
            <w:pPr>
              <w:jc w:val="center"/>
            </w:pPr>
            <w:r w:rsidRPr="00110C6C">
              <w:t>110</w:t>
            </w:r>
          </w:p>
        </w:tc>
        <w:tc>
          <w:tcPr>
            <w:tcW w:w="1091" w:type="dxa"/>
          </w:tcPr>
          <w:p w:rsidR="00A6671A" w:rsidRPr="00110C6C" w:rsidRDefault="00A6671A" w:rsidP="00E66349">
            <w:pPr>
              <w:jc w:val="center"/>
            </w:pPr>
            <w:r w:rsidRPr="00110C6C">
              <w:t>94</w:t>
            </w:r>
          </w:p>
        </w:tc>
        <w:tc>
          <w:tcPr>
            <w:tcW w:w="1091" w:type="dxa"/>
          </w:tcPr>
          <w:p w:rsidR="00A6671A" w:rsidRDefault="00A6671A" w:rsidP="00E66349">
            <w:pPr>
              <w:jc w:val="center"/>
            </w:pPr>
            <w:r w:rsidRPr="00110C6C">
              <w:t>95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101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110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790F1E">
            <w:pPr>
              <w:widowControl w:val="0"/>
              <w:jc w:val="both"/>
            </w:pPr>
            <w:r>
              <w:t>Фрукты и ягоды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rPr>
                <w:lang w:val="en-US"/>
              </w:rPr>
              <w:t>26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rPr>
                <w:lang w:val="en-US"/>
              </w:rPr>
              <w:t>53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rPr>
                <w:lang w:val="en-US"/>
              </w:rPr>
              <w:t>67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rPr>
                <w:lang w:val="en-US"/>
              </w:rPr>
              <w:t>74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rPr>
                <w:lang w:val="en-US"/>
              </w:rPr>
              <w:t>76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2,9 р.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CC6913">
            <w:pPr>
              <w:widowControl w:val="0"/>
            </w:pPr>
            <w:r>
              <w:t>Мясо и мясопродукты</w:t>
            </w:r>
          </w:p>
        </w:tc>
        <w:tc>
          <w:tcPr>
            <w:tcW w:w="1091" w:type="dxa"/>
          </w:tcPr>
          <w:p w:rsidR="00A6671A" w:rsidRPr="00361506" w:rsidRDefault="00A6671A" w:rsidP="00CC7454">
            <w:pPr>
              <w:jc w:val="center"/>
            </w:pPr>
            <w:r w:rsidRPr="00361506">
              <w:t>44</w:t>
            </w:r>
          </w:p>
        </w:tc>
        <w:tc>
          <w:tcPr>
            <w:tcW w:w="1091" w:type="dxa"/>
          </w:tcPr>
          <w:p w:rsidR="00A6671A" w:rsidRPr="00361506" w:rsidRDefault="00A6671A" w:rsidP="00CC7454">
            <w:pPr>
              <w:jc w:val="center"/>
            </w:pPr>
            <w:r w:rsidRPr="00361506">
              <w:t>55</w:t>
            </w:r>
          </w:p>
        </w:tc>
        <w:tc>
          <w:tcPr>
            <w:tcW w:w="1091" w:type="dxa"/>
          </w:tcPr>
          <w:p w:rsidR="00A6671A" w:rsidRDefault="00A6671A" w:rsidP="00CC7454">
            <w:pPr>
              <w:jc w:val="center"/>
            </w:pPr>
            <w:r w:rsidRPr="00361506">
              <w:t>66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73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74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Default="00A6671A" w:rsidP="00CC6913">
            <w:pPr>
              <w:widowControl w:val="0"/>
            </w:pPr>
            <w:r>
              <w:t xml:space="preserve">- в т. ч. </w:t>
            </w:r>
            <w:r w:rsidR="00363271" w:rsidRPr="00BE7B81">
              <w:t>Б</w:t>
            </w:r>
            <w:r w:rsidRPr="00BE7B81">
              <w:t>ез субпродуктов    II категории и</w:t>
            </w:r>
            <w:r>
              <w:t xml:space="preserve"> </w:t>
            </w:r>
            <w:r w:rsidRPr="00BE7B81">
              <w:t>пищевого сала</w:t>
            </w:r>
          </w:p>
        </w:tc>
        <w:tc>
          <w:tcPr>
            <w:tcW w:w="1091" w:type="dxa"/>
          </w:tcPr>
          <w:p w:rsidR="00A6671A" w:rsidRPr="00DD2F41" w:rsidRDefault="00A6671A" w:rsidP="00E66349">
            <w:pPr>
              <w:jc w:val="center"/>
            </w:pPr>
            <w:r w:rsidRPr="00DD2F41">
              <w:t>39</w:t>
            </w:r>
          </w:p>
        </w:tc>
        <w:tc>
          <w:tcPr>
            <w:tcW w:w="1091" w:type="dxa"/>
          </w:tcPr>
          <w:p w:rsidR="00A6671A" w:rsidRPr="00DD2F41" w:rsidRDefault="00A6671A" w:rsidP="00E66349">
            <w:pPr>
              <w:jc w:val="center"/>
            </w:pPr>
            <w:r w:rsidRPr="00DD2F41">
              <w:t>49</w:t>
            </w:r>
          </w:p>
        </w:tc>
        <w:tc>
          <w:tcPr>
            <w:tcW w:w="1091" w:type="dxa"/>
          </w:tcPr>
          <w:p w:rsidR="00A6671A" w:rsidRDefault="00A6671A" w:rsidP="00E66349">
            <w:pPr>
              <w:jc w:val="center"/>
            </w:pPr>
            <w:r w:rsidRPr="00DD2F41">
              <w:t>59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64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65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166,7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790F1E">
            <w:pPr>
              <w:widowControl w:val="0"/>
              <w:jc w:val="both"/>
            </w:pPr>
            <w:r>
              <w:t>Молоко и молочные продукты</w:t>
            </w:r>
          </w:p>
        </w:tc>
        <w:tc>
          <w:tcPr>
            <w:tcW w:w="1091" w:type="dxa"/>
          </w:tcPr>
          <w:p w:rsidR="00A6671A" w:rsidRPr="00DC662F" w:rsidRDefault="00A6671A" w:rsidP="00E66349">
            <w:pPr>
              <w:jc w:val="center"/>
            </w:pPr>
            <w:r w:rsidRPr="00DC662F">
              <w:t>235</w:t>
            </w:r>
          </w:p>
        </w:tc>
        <w:tc>
          <w:tcPr>
            <w:tcW w:w="1091" w:type="dxa"/>
          </w:tcPr>
          <w:p w:rsidR="00A6671A" w:rsidRPr="00DC662F" w:rsidRDefault="00A6671A" w:rsidP="00E66349">
            <w:pPr>
              <w:jc w:val="center"/>
            </w:pPr>
            <w:r w:rsidRPr="00DC662F">
              <w:t>229</w:t>
            </w:r>
          </w:p>
        </w:tc>
        <w:tc>
          <w:tcPr>
            <w:tcW w:w="1091" w:type="dxa"/>
          </w:tcPr>
          <w:p w:rsidR="00A6671A" w:rsidRDefault="00A6671A" w:rsidP="00E66349">
            <w:pPr>
              <w:jc w:val="center"/>
            </w:pPr>
            <w:r w:rsidRPr="00DC662F">
              <w:t>236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222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E66349">
              <w:t>230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790F1E">
            <w:pPr>
              <w:widowControl w:val="0"/>
              <w:jc w:val="both"/>
            </w:pPr>
            <w:r>
              <w:t>Я й ц а, шт.</w:t>
            </w:r>
          </w:p>
        </w:tc>
        <w:tc>
          <w:tcPr>
            <w:tcW w:w="1091" w:type="dxa"/>
          </w:tcPr>
          <w:p w:rsidR="00A6671A" w:rsidRPr="00D21292" w:rsidRDefault="00A6671A" w:rsidP="00BE7B81">
            <w:pPr>
              <w:jc w:val="center"/>
            </w:pPr>
            <w:r w:rsidRPr="00D21292">
              <w:t>229</w:t>
            </w:r>
          </w:p>
        </w:tc>
        <w:tc>
          <w:tcPr>
            <w:tcW w:w="1091" w:type="dxa"/>
          </w:tcPr>
          <w:p w:rsidR="00A6671A" w:rsidRPr="00D21292" w:rsidRDefault="00A6671A" w:rsidP="00BE7B81">
            <w:pPr>
              <w:jc w:val="center"/>
            </w:pPr>
            <w:r w:rsidRPr="00D21292">
              <w:t>300</w:t>
            </w:r>
          </w:p>
        </w:tc>
        <w:tc>
          <w:tcPr>
            <w:tcW w:w="1091" w:type="dxa"/>
          </w:tcPr>
          <w:p w:rsidR="00A6671A" w:rsidRDefault="00A6671A" w:rsidP="00BE7B81">
            <w:pPr>
              <w:jc w:val="center"/>
            </w:pPr>
            <w:r w:rsidRPr="00D21292">
              <w:t>318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BE7B81">
              <w:t>310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BE7B81">
              <w:t>316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E66349">
            <w:pPr>
              <w:widowControl w:val="0"/>
            </w:pPr>
            <w:r>
              <w:t>Рыба и  рыбопродукты</w:t>
            </w:r>
          </w:p>
        </w:tc>
        <w:tc>
          <w:tcPr>
            <w:tcW w:w="1091" w:type="dxa"/>
            <w:vAlign w:val="bottom"/>
          </w:tcPr>
          <w:p w:rsidR="00A6671A" w:rsidRPr="00BE7B81" w:rsidRDefault="00A6671A" w:rsidP="00A6671A">
            <w:pPr>
              <w:spacing w:line="200" w:lineRule="exact"/>
              <w:ind w:right="170"/>
              <w:jc w:val="center"/>
            </w:pPr>
            <w:r w:rsidRPr="00BE7B81">
              <w:t>9,0</w:t>
            </w:r>
          </w:p>
        </w:tc>
        <w:tc>
          <w:tcPr>
            <w:tcW w:w="1091" w:type="dxa"/>
            <w:vAlign w:val="bottom"/>
          </w:tcPr>
          <w:p w:rsidR="00A6671A" w:rsidRPr="00BE7B81" w:rsidRDefault="00A6671A" w:rsidP="00A6671A">
            <w:pPr>
              <w:spacing w:line="200" w:lineRule="exact"/>
              <w:ind w:right="170"/>
              <w:jc w:val="center"/>
            </w:pPr>
            <w:r w:rsidRPr="00BE7B81">
              <w:rPr>
                <w:lang w:val="en-US"/>
              </w:rPr>
              <w:t>1</w:t>
            </w:r>
            <w:r w:rsidRPr="00BE7B81">
              <w:t>3,0</w:t>
            </w:r>
          </w:p>
        </w:tc>
        <w:tc>
          <w:tcPr>
            <w:tcW w:w="1091" w:type="dxa"/>
            <w:vAlign w:val="bottom"/>
          </w:tcPr>
          <w:p w:rsidR="00A6671A" w:rsidRPr="00BE7B81" w:rsidRDefault="00A6671A" w:rsidP="00A6671A">
            <w:pPr>
              <w:spacing w:line="200" w:lineRule="exact"/>
              <w:ind w:right="170"/>
              <w:jc w:val="center"/>
              <w:rPr>
                <w:lang w:val="en-US"/>
              </w:rPr>
            </w:pPr>
            <w:r w:rsidRPr="00BE7B81">
              <w:rPr>
                <w:lang w:val="en-US"/>
              </w:rPr>
              <w:t>14,9</w:t>
            </w:r>
          </w:p>
        </w:tc>
        <w:tc>
          <w:tcPr>
            <w:tcW w:w="1091" w:type="dxa"/>
          </w:tcPr>
          <w:p w:rsidR="00A6671A" w:rsidRPr="00790F1E" w:rsidRDefault="00A6671A" w:rsidP="00A6671A">
            <w:pPr>
              <w:widowControl w:val="0"/>
              <w:jc w:val="center"/>
            </w:pPr>
            <w:r>
              <w:t>21,0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>
              <w:t>23,4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2,6 р.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790F1E">
            <w:pPr>
              <w:widowControl w:val="0"/>
              <w:jc w:val="both"/>
            </w:pPr>
            <w:r>
              <w:t xml:space="preserve">Сахар и конд. </w:t>
            </w:r>
            <w:r w:rsidR="00363271">
              <w:t>И</w:t>
            </w:r>
            <w:r>
              <w:t>зделия</w:t>
            </w:r>
          </w:p>
        </w:tc>
        <w:tc>
          <w:tcPr>
            <w:tcW w:w="1091" w:type="dxa"/>
          </w:tcPr>
          <w:p w:rsidR="00A6671A" w:rsidRPr="009355E3" w:rsidRDefault="00A6671A" w:rsidP="00BE7B81">
            <w:pPr>
              <w:jc w:val="center"/>
            </w:pPr>
            <w:r w:rsidRPr="009355E3">
              <w:t>33</w:t>
            </w:r>
          </w:p>
        </w:tc>
        <w:tc>
          <w:tcPr>
            <w:tcW w:w="1091" w:type="dxa"/>
          </w:tcPr>
          <w:p w:rsidR="00A6671A" w:rsidRPr="009355E3" w:rsidRDefault="00A6671A" w:rsidP="00BE7B81">
            <w:pPr>
              <w:jc w:val="center"/>
            </w:pPr>
            <w:r w:rsidRPr="009355E3">
              <w:t>36</w:t>
            </w:r>
          </w:p>
        </w:tc>
        <w:tc>
          <w:tcPr>
            <w:tcW w:w="1091" w:type="dxa"/>
          </w:tcPr>
          <w:p w:rsidR="00A6671A" w:rsidRDefault="00A6671A" w:rsidP="00BE7B81">
            <w:pPr>
              <w:jc w:val="center"/>
            </w:pPr>
            <w:r w:rsidRPr="009355E3">
              <w:t>36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BE7B81">
              <w:t>40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BE7B81">
              <w:t>40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A6671A" w:rsidRPr="00790F1E" w:rsidTr="00F33A1F">
        <w:trPr>
          <w:jc w:val="center"/>
        </w:trPr>
        <w:tc>
          <w:tcPr>
            <w:tcW w:w="3635" w:type="dxa"/>
          </w:tcPr>
          <w:p w:rsidR="00A6671A" w:rsidRPr="00790F1E" w:rsidRDefault="00A6671A" w:rsidP="00790F1E">
            <w:pPr>
              <w:widowControl w:val="0"/>
              <w:jc w:val="both"/>
            </w:pPr>
            <w:r>
              <w:t>Масло растительное и др. жиры</w:t>
            </w:r>
          </w:p>
        </w:tc>
        <w:tc>
          <w:tcPr>
            <w:tcW w:w="1091" w:type="dxa"/>
          </w:tcPr>
          <w:p w:rsidR="00A6671A" w:rsidRPr="00287D81" w:rsidRDefault="00A6671A" w:rsidP="00BE7B81">
            <w:pPr>
              <w:jc w:val="center"/>
            </w:pPr>
            <w:r w:rsidRPr="00287D81">
              <w:t>8,3</w:t>
            </w:r>
          </w:p>
        </w:tc>
        <w:tc>
          <w:tcPr>
            <w:tcW w:w="1091" w:type="dxa"/>
          </w:tcPr>
          <w:p w:rsidR="00A6671A" w:rsidRPr="00287D81" w:rsidRDefault="00A6671A" w:rsidP="00BE7B81">
            <w:pPr>
              <w:jc w:val="center"/>
            </w:pPr>
            <w:r w:rsidRPr="00287D81">
              <w:t>13,0</w:t>
            </w:r>
          </w:p>
        </w:tc>
        <w:tc>
          <w:tcPr>
            <w:tcW w:w="1091" w:type="dxa"/>
          </w:tcPr>
          <w:p w:rsidR="00A6671A" w:rsidRDefault="00A6671A" w:rsidP="00BE7B81">
            <w:pPr>
              <w:jc w:val="center"/>
            </w:pPr>
            <w:r w:rsidRPr="00287D81">
              <w:t>13,2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BE7B81">
              <w:t>12,4</w:t>
            </w:r>
          </w:p>
        </w:tc>
        <w:tc>
          <w:tcPr>
            <w:tcW w:w="1091" w:type="dxa"/>
          </w:tcPr>
          <w:p w:rsidR="00A6671A" w:rsidRPr="00790F1E" w:rsidRDefault="00A6671A" w:rsidP="00790F1E">
            <w:pPr>
              <w:widowControl w:val="0"/>
              <w:jc w:val="center"/>
            </w:pPr>
            <w:r w:rsidRPr="00BE7B81">
              <w:t>12,4</w:t>
            </w:r>
          </w:p>
        </w:tc>
        <w:tc>
          <w:tcPr>
            <w:tcW w:w="1123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</w:tr>
    </w:tbl>
    <w:p w:rsidR="00A6671A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более чем на 60% возрастает потребление мяса и мясопродуктов, в том числе без учета </w:t>
      </w:r>
      <w:r w:rsidRPr="00A6671A">
        <w:rPr>
          <w:sz w:val="28"/>
          <w:szCs w:val="28"/>
        </w:rPr>
        <w:t>субпродуктов II категории и пищевого сала</w:t>
      </w:r>
      <w:r>
        <w:rPr>
          <w:sz w:val="28"/>
          <w:szCs w:val="28"/>
        </w:rPr>
        <w:t xml:space="preserve">, т.е. наиболее ценной белковой составляющей. В 2,6 раза увеличивается потребление рыбы и рыбных продуктов, почти на 40% - потребление яиц. Сокращение потребления картофеля и хлебных продуктов, на фоне роста калорийности рациона, можно рассматривать скорее как положительную тенденцию, поскольку повышается его сбалансированность. Несколько выбивается из общей картины динамика потребления молока и молочных продуктов – сокращение незначительное, но учитывая высокий уровень самообеспечения исходным сырьем и традиционно высокий уровень потребления данного вида продовольствия на Европейском Севере России, тенденция тревожная. </w:t>
      </w:r>
    </w:p>
    <w:p w:rsidR="00790F1E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сопоставлении фактического потребления с биологически обоснованными нормами прослеживается аналогичная тенденция (таблица 2). </w:t>
      </w:r>
    </w:p>
    <w:p w:rsidR="00A6671A" w:rsidRPr="003E0AA7" w:rsidRDefault="00A6671A" w:rsidP="00A6671A">
      <w:pPr>
        <w:widowControl w:val="0"/>
        <w:spacing w:line="360" w:lineRule="auto"/>
        <w:jc w:val="both"/>
      </w:pPr>
      <w:r w:rsidRPr="003E0AA7">
        <w:t xml:space="preserve">Таблица 2 – Соответствие </w:t>
      </w:r>
      <w:r w:rsidR="003E0AA7" w:rsidRPr="003E0AA7">
        <w:t>нормам потребления</w:t>
      </w:r>
      <w:r w:rsidRPr="003E0AA7">
        <w:t xml:space="preserve"> основных видов продовольствия в регионе, %</w:t>
      </w:r>
    </w:p>
    <w:tbl>
      <w:tblPr>
        <w:tblStyle w:val="aa"/>
        <w:tblW w:w="4900" w:type="pct"/>
        <w:jc w:val="center"/>
        <w:tblLook w:val="04A0" w:firstRow="1" w:lastRow="0" w:firstColumn="1" w:lastColumn="0" w:noHBand="0" w:noVBand="1"/>
      </w:tblPr>
      <w:tblGrid>
        <w:gridCol w:w="3343"/>
        <w:gridCol w:w="1111"/>
        <w:gridCol w:w="896"/>
        <w:gridCol w:w="897"/>
        <w:gridCol w:w="897"/>
        <w:gridCol w:w="897"/>
        <w:gridCol w:w="897"/>
        <w:gridCol w:w="1275"/>
      </w:tblGrid>
      <w:tr w:rsidR="00A6671A" w:rsidRPr="00790F1E" w:rsidTr="00A6671A">
        <w:trPr>
          <w:jc w:val="center"/>
        </w:trPr>
        <w:tc>
          <w:tcPr>
            <w:tcW w:w="3343" w:type="dxa"/>
            <w:vMerge w:val="restart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Показатель</w:t>
            </w:r>
          </w:p>
        </w:tc>
        <w:tc>
          <w:tcPr>
            <w:tcW w:w="1111" w:type="dxa"/>
            <w:vMerge w:val="restart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Норма*</w:t>
            </w:r>
          </w:p>
        </w:tc>
        <w:tc>
          <w:tcPr>
            <w:tcW w:w="4484" w:type="dxa"/>
            <w:gridSpan w:val="5"/>
          </w:tcPr>
          <w:p w:rsidR="00A6671A" w:rsidRDefault="00A6671A" w:rsidP="00F33A1F">
            <w:pPr>
              <w:widowControl w:val="0"/>
              <w:jc w:val="center"/>
            </w:pPr>
            <w:r>
              <w:t xml:space="preserve">Годы </w:t>
            </w:r>
          </w:p>
        </w:tc>
        <w:tc>
          <w:tcPr>
            <w:tcW w:w="1275" w:type="dxa"/>
            <w:vMerge w:val="restart"/>
          </w:tcPr>
          <w:p w:rsidR="00A6671A" w:rsidRPr="00A6671A" w:rsidRDefault="00A6671A" w:rsidP="00F33A1F">
            <w:pPr>
              <w:widowControl w:val="0"/>
              <w:jc w:val="center"/>
              <w:rPr>
                <w:sz w:val="22"/>
                <w:szCs w:val="22"/>
              </w:rPr>
            </w:pPr>
            <w:r w:rsidRPr="00A6671A">
              <w:rPr>
                <w:sz w:val="22"/>
                <w:szCs w:val="22"/>
              </w:rPr>
              <w:t>2018 г. к 2000 г.,%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  <w:vMerge/>
          </w:tcPr>
          <w:p w:rsidR="00A6671A" w:rsidRPr="00790F1E" w:rsidRDefault="00A6671A" w:rsidP="00F33A1F">
            <w:pPr>
              <w:widowControl w:val="0"/>
              <w:jc w:val="both"/>
            </w:pPr>
          </w:p>
        </w:tc>
        <w:tc>
          <w:tcPr>
            <w:tcW w:w="1111" w:type="dxa"/>
            <w:vMerge/>
          </w:tcPr>
          <w:p w:rsidR="00A6671A" w:rsidRPr="00790F1E" w:rsidRDefault="00A6671A" w:rsidP="00F33A1F">
            <w:pPr>
              <w:widowControl w:val="0"/>
              <w:jc w:val="both"/>
            </w:pPr>
          </w:p>
        </w:tc>
        <w:tc>
          <w:tcPr>
            <w:tcW w:w="896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897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897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897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897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275" w:type="dxa"/>
            <w:vMerge/>
          </w:tcPr>
          <w:p w:rsidR="00A6671A" w:rsidRDefault="00A6671A" w:rsidP="00F33A1F">
            <w:pPr>
              <w:widowControl w:val="0"/>
              <w:jc w:val="center"/>
            </w:pP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</w:pPr>
            <w:r>
              <w:t>Хлебные продукты</w:t>
            </w:r>
          </w:p>
        </w:tc>
        <w:tc>
          <w:tcPr>
            <w:tcW w:w="1111" w:type="dxa"/>
          </w:tcPr>
          <w:p w:rsidR="00A6671A" w:rsidRPr="00A6671A" w:rsidRDefault="00A6671A" w:rsidP="00A6671A">
            <w:pPr>
              <w:widowControl w:val="0"/>
              <w:jc w:val="center"/>
            </w:pPr>
            <w:r w:rsidRPr="00A6671A">
              <w:rPr>
                <w:bCs/>
              </w:rPr>
              <w:t>95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124,2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113,7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113,7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  <w:jc w:val="both"/>
            </w:pPr>
            <w:r>
              <w:t>Картофель</w:t>
            </w:r>
          </w:p>
        </w:tc>
        <w:tc>
          <w:tcPr>
            <w:tcW w:w="1111" w:type="dxa"/>
          </w:tcPr>
          <w:p w:rsidR="00A6671A" w:rsidRPr="00A6671A" w:rsidRDefault="00A6671A" w:rsidP="00A6671A">
            <w:pPr>
              <w:widowControl w:val="0"/>
              <w:jc w:val="center"/>
            </w:pPr>
            <w:r w:rsidRPr="00A6671A">
              <w:rPr>
                <w:bCs/>
              </w:rPr>
              <w:t>100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  <w:jc w:val="both"/>
            </w:pPr>
            <w:r>
              <w:t>Овощи и бахчевые</w:t>
            </w:r>
          </w:p>
        </w:tc>
        <w:tc>
          <w:tcPr>
            <w:tcW w:w="1111" w:type="dxa"/>
          </w:tcPr>
          <w:p w:rsidR="00A6671A" w:rsidRPr="00A6671A" w:rsidRDefault="00A6671A" w:rsidP="00A6671A">
            <w:pPr>
              <w:widowControl w:val="0"/>
              <w:jc w:val="center"/>
            </w:pPr>
            <w:r w:rsidRPr="00A6671A">
              <w:rPr>
                <w:bCs/>
              </w:rPr>
              <w:t>140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  <w:jc w:val="both"/>
            </w:pPr>
            <w:r>
              <w:t>Фрукты и ягоды</w:t>
            </w:r>
          </w:p>
        </w:tc>
        <w:tc>
          <w:tcPr>
            <w:tcW w:w="1111" w:type="dxa"/>
          </w:tcPr>
          <w:p w:rsidR="00A6671A" w:rsidRPr="00A6671A" w:rsidRDefault="00A6671A" w:rsidP="00A6671A">
            <w:pPr>
              <w:widowControl w:val="0"/>
              <w:jc w:val="center"/>
            </w:pPr>
            <w:r w:rsidRPr="00A6671A">
              <w:rPr>
                <w:bCs/>
              </w:rPr>
              <w:t>100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292,3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</w:pPr>
            <w:r>
              <w:t>Мясо и мясопродукты</w:t>
            </w:r>
          </w:p>
        </w:tc>
        <w:tc>
          <w:tcPr>
            <w:tcW w:w="1111" w:type="dxa"/>
          </w:tcPr>
          <w:p w:rsidR="00A6671A" w:rsidRPr="00A6671A" w:rsidRDefault="00A6671A" w:rsidP="00A6671A">
            <w:pPr>
              <w:widowControl w:val="0"/>
              <w:jc w:val="center"/>
            </w:pPr>
            <w:r w:rsidRPr="00A6671A">
              <w:rPr>
                <w:bCs/>
              </w:rPr>
              <w:t>75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  <w:jc w:val="both"/>
            </w:pPr>
            <w:r>
              <w:t>Молоко и молочные продукты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A6671A">
            <w:pPr>
              <w:widowControl w:val="0"/>
              <w:jc w:val="center"/>
            </w:pPr>
            <w:r w:rsidRPr="00A6671A">
              <w:rPr>
                <w:bCs/>
              </w:rPr>
              <w:t>340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  <w:jc w:val="both"/>
            </w:pPr>
            <w:r>
              <w:t>Я й ц а, шт.</w:t>
            </w:r>
          </w:p>
        </w:tc>
        <w:tc>
          <w:tcPr>
            <w:tcW w:w="1111" w:type="dxa"/>
          </w:tcPr>
          <w:p w:rsidR="00A6671A" w:rsidRPr="00A6671A" w:rsidRDefault="00A6671A" w:rsidP="00A66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115,4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115,4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119,2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</w:pPr>
            <w:r>
              <w:t>Рыба и  рыбопродукты</w:t>
            </w:r>
          </w:p>
        </w:tc>
        <w:tc>
          <w:tcPr>
            <w:tcW w:w="1111" w:type="dxa"/>
          </w:tcPr>
          <w:p w:rsidR="00A6671A" w:rsidRPr="00A6671A" w:rsidRDefault="00A6671A" w:rsidP="00A6671A">
            <w:pPr>
              <w:widowControl w:val="0"/>
              <w:jc w:val="center"/>
            </w:pPr>
            <w:r w:rsidRPr="00A6671A">
              <w:t>22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117,9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142,9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142,9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  <w:jc w:val="both"/>
            </w:pPr>
            <w:r>
              <w:t xml:space="preserve">Сахар и конд. </w:t>
            </w:r>
            <w:r w:rsidR="00363271">
              <w:t>И</w:t>
            </w:r>
            <w:r>
              <w:t>зделия</w:t>
            </w:r>
          </w:p>
        </w:tc>
        <w:tc>
          <w:tcPr>
            <w:tcW w:w="1111" w:type="dxa"/>
          </w:tcPr>
          <w:p w:rsidR="00A6671A" w:rsidRPr="00A6671A" w:rsidRDefault="00A6671A" w:rsidP="00A6671A">
            <w:pPr>
              <w:widowControl w:val="0"/>
              <w:jc w:val="center"/>
            </w:pPr>
            <w:r w:rsidRPr="00A6671A">
              <w:rPr>
                <w:bCs/>
              </w:rPr>
              <w:t>28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108,3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Pr="00790F1E" w:rsidRDefault="00A6671A" w:rsidP="00F33A1F">
            <w:pPr>
              <w:widowControl w:val="0"/>
              <w:jc w:val="both"/>
            </w:pPr>
            <w:r>
              <w:t>Масло растительное и др. жиры</w:t>
            </w:r>
          </w:p>
        </w:tc>
        <w:tc>
          <w:tcPr>
            <w:tcW w:w="1111" w:type="dxa"/>
          </w:tcPr>
          <w:p w:rsidR="00A6671A" w:rsidRPr="00A6671A" w:rsidRDefault="00A6671A" w:rsidP="00A6671A">
            <w:pPr>
              <w:widowControl w:val="0"/>
              <w:jc w:val="center"/>
            </w:pPr>
            <w:r w:rsidRPr="00A6671A">
              <w:rPr>
                <w:bCs/>
              </w:rPr>
              <w:t>12</w:t>
            </w:r>
          </w:p>
        </w:tc>
        <w:tc>
          <w:tcPr>
            <w:tcW w:w="896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108,3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897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275" w:type="dxa"/>
            <w:vAlign w:val="center"/>
          </w:tcPr>
          <w:p w:rsidR="00A6671A" w:rsidRDefault="00A66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</w:tr>
    </w:tbl>
    <w:p w:rsidR="00A6671A" w:rsidRPr="00A6671A" w:rsidRDefault="00A6671A" w:rsidP="00A6671A">
      <w:pPr>
        <w:widowControl w:val="0"/>
        <w:spacing w:line="360" w:lineRule="auto"/>
        <w:ind w:left="709"/>
        <w:jc w:val="both"/>
        <w:rPr>
          <w:sz w:val="20"/>
          <w:szCs w:val="20"/>
        </w:rPr>
      </w:pPr>
      <w:r w:rsidRPr="00A6671A">
        <w:rPr>
          <w:sz w:val="20"/>
          <w:szCs w:val="20"/>
        </w:rPr>
        <w:t>*  - при наличии интервала указано верхнее значение нормы</w:t>
      </w:r>
    </w:p>
    <w:p w:rsidR="00A6671A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не смотря на устойчивый рост потребления и постепенное улучшение структуры рациона, сохраняется дефицит по белковой группе продовольствия, избыточное потребление жиров и сахара. Рост потребления овощей и бахчевых не обеспечивает достижения нормативных показателей,  так же, как и потребление фруктов и ягод. Не смотря на принадлежность к территории Европейского Севера, регион в целом характеризуется природно-климатическими условиями, позволяющими компенсировать потребность в данных группах продовольствия за счет собственного производства и активного вовлечения в оборот дикорастущих плодово-ягодных культур, но уровень соответствия нормам не достигает и 80%.</w:t>
      </w:r>
    </w:p>
    <w:p w:rsidR="00A6671A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 недостаточным остается и потребление молока. Если в дореформенный период, (по 1991 г. включительно), потребность по данной группе продовольствия полностью удовлетворялась, а потребление превышало норму на 5-12%, то в последующие периоды оно едва достигает 90%. Потребление мяса и мясопродуктов несколько ниже нормы, но оно компенсируется потребление рыбы и яиц, которые так же могут служить источником полноценного белка.</w:t>
      </w:r>
    </w:p>
    <w:p w:rsidR="00A6671A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реального уровня продовольственной безопасности следует учитывать особенности территориальной концентрации населения условия проживания.  Исследуемый период показал существенный разрыв в уровне потребления продовольствия между городским и сельским населением: если в период с 1990 по 2000 г. сельское население питалось более качественно, а фактическое потребление было существенно ближе к рациональным нормам, то к началу исследуемого периода ситуация радикально меняется (таблица 3).</w:t>
      </w:r>
    </w:p>
    <w:p w:rsidR="00A6671A" w:rsidRPr="003E0AA7" w:rsidRDefault="00A6671A" w:rsidP="003E0AA7">
      <w:pPr>
        <w:widowControl w:val="0"/>
        <w:spacing w:line="240" w:lineRule="auto"/>
        <w:jc w:val="both"/>
      </w:pPr>
      <w:r w:rsidRPr="003E0AA7">
        <w:t xml:space="preserve">Таблица 3 – Соответствие </w:t>
      </w:r>
      <w:r w:rsidR="003E0AA7" w:rsidRPr="003E0AA7">
        <w:t>нормам потребления</w:t>
      </w:r>
      <w:r w:rsidRPr="003E0AA7">
        <w:t xml:space="preserve"> основных видов продовольствия на сельских территориях Вологодской области, %</w:t>
      </w:r>
    </w:p>
    <w:tbl>
      <w:tblPr>
        <w:tblStyle w:val="aa"/>
        <w:tblW w:w="4900" w:type="pct"/>
        <w:jc w:val="center"/>
        <w:tblLook w:val="04A0" w:firstRow="1" w:lastRow="0" w:firstColumn="1" w:lastColumn="0" w:noHBand="0" w:noVBand="1"/>
      </w:tblPr>
      <w:tblGrid>
        <w:gridCol w:w="3343"/>
        <w:gridCol w:w="1111"/>
        <w:gridCol w:w="876"/>
        <w:gridCol w:w="876"/>
        <w:gridCol w:w="876"/>
        <w:gridCol w:w="876"/>
        <w:gridCol w:w="876"/>
        <w:gridCol w:w="1379"/>
      </w:tblGrid>
      <w:tr w:rsidR="00A6671A" w:rsidRPr="00790F1E" w:rsidTr="007869FC">
        <w:trPr>
          <w:tblHeader/>
          <w:jc w:val="center"/>
        </w:trPr>
        <w:tc>
          <w:tcPr>
            <w:tcW w:w="3343" w:type="dxa"/>
            <w:vMerge w:val="restart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Показатель</w:t>
            </w:r>
          </w:p>
        </w:tc>
        <w:tc>
          <w:tcPr>
            <w:tcW w:w="1111" w:type="dxa"/>
            <w:vMerge w:val="restart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Норма*</w:t>
            </w:r>
          </w:p>
        </w:tc>
        <w:tc>
          <w:tcPr>
            <w:tcW w:w="4380" w:type="dxa"/>
            <w:gridSpan w:val="5"/>
          </w:tcPr>
          <w:p w:rsidR="00A6671A" w:rsidRDefault="00A6671A" w:rsidP="00F33A1F">
            <w:pPr>
              <w:widowControl w:val="0"/>
              <w:jc w:val="center"/>
            </w:pPr>
            <w:r>
              <w:t xml:space="preserve">Годы </w:t>
            </w:r>
          </w:p>
        </w:tc>
        <w:tc>
          <w:tcPr>
            <w:tcW w:w="1379" w:type="dxa"/>
            <w:vMerge w:val="restart"/>
          </w:tcPr>
          <w:p w:rsidR="00A6671A" w:rsidRPr="00A6671A" w:rsidRDefault="00A6671A" w:rsidP="00A6671A">
            <w:pPr>
              <w:widowControl w:val="0"/>
              <w:jc w:val="center"/>
              <w:rPr>
                <w:sz w:val="22"/>
                <w:szCs w:val="22"/>
              </w:rPr>
            </w:pPr>
            <w:r w:rsidRPr="00A6671A">
              <w:rPr>
                <w:sz w:val="22"/>
                <w:szCs w:val="22"/>
              </w:rPr>
              <w:t>2018 г. к 2000 г.,</w:t>
            </w:r>
            <w:r>
              <w:rPr>
                <w:sz w:val="22"/>
                <w:szCs w:val="22"/>
              </w:rPr>
              <w:t xml:space="preserve"> п. п.</w:t>
            </w:r>
          </w:p>
        </w:tc>
      </w:tr>
      <w:tr w:rsidR="00A6671A" w:rsidRPr="00790F1E" w:rsidTr="007869FC">
        <w:trPr>
          <w:tblHeader/>
          <w:jc w:val="center"/>
        </w:trPr>
        <w:tc>
          <w:tcPr>
            <w:tcW w:w="3343" w:type="dxa"/>
            <w:vMerge/>
          </w:tcPr>
          <w:p w:rsidR="00A6671A" w:rsidRPr="00790F1E" w:rsidRDefault="00A6671A" w:rsidP="00F33A1F">
            <w:pPr>
              <w:widowControl w:val="0"/>
              <w:jc w:val="both"/>
            </w:pPr>
          </w:p>
        </w:tc>
        <w:tc>
          <w:tcPr>
            <w:tcW w:w="1111" w:type="dxa"/>
            <w:vMerge/>
          </w:tcPr>
          <w:p w:rsidR="00A6671A" w:rsidRPr="00790F1E" w:rsidRDefault="00A6671A" w:rsidP="00F33A1F">
            <w:pPr>
              <w:widowControl w:val="0"/>
              <w:jc w:val="both"/>
            </w:pPr>
          </w:p>
        </w:tc>
        <w:tc>
          <w:tcPr>
            <w:tcW w:w="876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876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876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876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876" w:type="dxa"/>
          </w:tcPr>
          <w:p w:rsidR="00A6671A" w:rsidRPr="00790F1E" w:rsidRDefault="00A6671A" w:rsidP="00F33A1F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79" w:type="dxa"/>
            <w:vMerge/>
          </w:tcPr>
          <w:p w:rsidR="00A6671A" w:rsidRDefault="00A6671A" w:rsidP="00F33A1F">
            <w:pPr>
              <w:widowControl w:val="0"/>
              <w:jc w:val="center"/>
            </w:pP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</w:pPr>
            <w:r>
              <w:t>Хлебные продукты</w:t>
            </w:r>
          </w:p>
          <w:p w:rsidR="00A6671A" w:rsidRDefault="00A6671A" w:rsidP="00F33A1F">
            <w:pPr>
              <w:widowControl w:val="0"/>
            </w:pPr>
            <w:r>
              <w:t>- городское население</w:t>
            </w:r>
          </w:p>
          <w:p w:rsidR="00A6671A" w:rsidRPr="00790F1E" w:rsidRDefault="00A6671A" w:rsidP="00F33A1F">
            <w:pPr>
              <w:widowControl w:val="0"/>
            </w:pPr>
            <w:r>
              <w:t xml:space="preserve">- сельское население 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</w:pPr>
            <w:r w:rsidRPr="00A6671A">
              <w:rPr>
                <w:bCs/>
              </w:rPr>
              <w:t>95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108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149,5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A6671A">
            <w:pPr>
              <w:jc w:val="center"/>
            </w:pPr>
            <w:r>
              <w:t>114,7</w:t>
            </w:r>
          </w:p>
          <w:p w:rsidR="00A6671A" w:rsidRPr="00A6671A" w:rsidRDefault="00A6671A" w:rsidP="00A6671A">
            <w:pPr>
              <w:jc w:val="center"/>
              <w:rPr>
                <w:color w:val="000000"/>
              </w:rPr>
            </w:pPr>
            <w:r>
              <w:t>176,8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101,1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145,3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93,7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102,0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>
              <w:t>103,2</w:t>
            </w:r>
          </w:p>
          <w:p w:rsidR="00A6671A" w:rsidRPr="00A6671A" w:rsidRDefault="00A6671A" w:rsidP="00A6671A">
            <w:pPr>
              <w:jc w:val="center"/>
            </w:pPr>
            <w:r>
              <w:t>117,9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-4,8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-31,6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  <w:jc w:val="both"/>
            </w:pPr>
            <w:r>
              <w:t>Картофель</w:t>
            </w:r>
          </w:p>
          <w:p w:rsidR="00A6671A" w:rsidRDefault="00A6671A" w:rsidP="00A6671A">
            <w:pPr>
              <w:widowControl w:val="0"/>
              <w:jc w:val="both"/>
            </w:pPr>
            <w:r>
              <w:t>- городское население</w:t>
            </w:r>
          </w:p>
          <w:p w:rsidR="00A6671A" w:rsidRPr="00790F1E" w:rsidRDefault="00A6671A" w:rsidP="00A6671A">
            <w:pPr>
              <w:widowControl w:val="0"/>
              <w:jc w:val="both"/>
            </w:pPr>
            <w:r>
              <w:t>- сельское население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</w:pPr>
            <w:r w:rsidRPr="00A6671A">
              <w:rPr>
                <w:bCs/>
              </w:rPr>
              <w:t>100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>
              <w:rPr>
                <w:lang w:val="en-US"/>
              </w:rPr>
              <w:t>117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>
              <w:rPr>
                <w:lang w:val="en-US"/>
              </w:rPr>
              <w:t>79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>
              <w:rPr>
                <w:lang w:val="en-US"/>
              </w:rPr>
              <w:t>69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>
              <w:rPr>
                <w:lang w:val="en-US"/>
              </w:rPr>
              <w:t>56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>
              <w:rPr>
                <w:lang w:val="en-US"/>
              </w:rPr>
              <w:t>58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-59,0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-68,0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  <w:jc w:val="both"/>
            </w:pPr>
            <w:r>
              <w:t>Овощи и бахчевые</w:t>
            </w:r>
          </w:p>
          <w:p w:rsidR="00A6671A" w:rsidRDefault="00A6671A" w:rsidP="00A6671A">
            <w:pPr>
              <w:widowControl w:val="0"/>
              <w:jc w:val="both"/>
            </w:pPr>
            <w:r>
              <w:t>- городское население</w:t>
            </w:r>
          </w:p>
          <w:p w:rsidR="00A6671A" w:rsidRPr="00790F1E" w:rsidRDefault="00A6671A" w:rsidP="00A6671A">
            <w:pPr>
              <w:widowControl w:val="0"/>
              <w:jc w:val="both"/>
            </w:pPr>
            <w:r>
              <w:t>- сельское население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</w:pPr>
            <w:r w:rsidRPr="00A6671A">
              <w:rPr>
                <w:bCs/>
              </w:rPr>
              <w:t>140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68,6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67,1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66,4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79,3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70,7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80,0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67,1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71,4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68,6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79,2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  <w:jc w:val="both"/>
            </w:pPr>
            <w:r>
              <w:t>Фрукты и ягоды</w:t>
            </w:r>
          </w:p>
          <w:p w:rsidR="00A6671A" w:rsidRDefault="00A6671A" w:rsidP="00A6671A">
            <w:pPr>
              <w:widowControl w:val="0"/>
              <w:jc w:val="both"/>
            </w:pPr>
            <w:r>
              <w:t>- городское население</w:t>
            </w:r>
          </w:p>
          <w:p w:rsidR="00A6671A" w:rsidRPr="00790F1E" w:rsidRDefault="00A6671A" w:rsidP="00A6671A">
            <w:pPr>
              <w:widowControl w:val="0"/>
              <w:jc w:val="both"/>
            </w:pPr>
            <w:r>
              <w:t>- сельское население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</w:pPr>
            <w:r w:rsidRPr="00A6671A">
              <w:rPr>
                <w:bCs/>
              </w:rPr>
              <w:t>100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</w:t>
            </w:r>
          </w:p>
          <w:p w:rsidR="00A6671A" w:rsidRPr="00A6671A" w:rsidRDefault="00A6671A" w:rsidP="00F33A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</w:pPr>
            <w:r>
              <w:t>Мясо и мясопродукты</w:t>
            </w:r>
          </w:p>
          <w:p w:rsidR="00A6671A" w:rsidRDefault="00A6671A" w:rsidP="00A6671A">
            <w:pPr>
              <w:widowControl w:val="0"/>
            </w:pPr>
            <w:r>
              <w:t>- городское население</w:t>
            </w:r>
          </w:p>
          <w:p w:rsidR="00A6671A" w:rsidRPr="00790F1E" w:rsidRDefault="00A6671A" w:rsidP="00A6671A">
            <w:pPr>
              <w:widowControl w:val="0"/>
            </w:pPr>
            <w:r>
              <w:t>- сельское население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</w:pPr>
            <w:r w:rsidRPr="00A6671A">
              <w:rPr>
                <w:bCs/>
              </w:rPr>
              <w:t>75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  <w:p w:rsidR="00A6671A" w:rsidRDefault="00A6671A" w:rsidP="00A6671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45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101,3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76,0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106,7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86,7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126,7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93,3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113,3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120,0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  <w:jc w:val="both"/>
            </w:pPr>
            <w:r>
              <w:t>Молоко и молочные продукты</w:t>
            </w:r>
          </w:p>
          <w:p w:rsidR="00A6671A" w:rsidRDefault="00A6671A" w:rsidP="00A6671A">
            <w:pPr>
              <w:widowControl w:val="0"/>
              <w:jc w:val="both"/>
            </w:pPr>
            <w:r>
              <w:t>- городское население</w:t>
            </w:r>
          </w:p>
          <w:p w:rsidR="00A6671A" w:rsidRPr="00790F1E" w:rsidRDefault="00A6671A" w:rsidP="00A6671A">
            <w:pPr>
              <w:widowControl w:val="0"/>
              <w:jc w:val="both"/>
            </w:pPr>
            <w:r>
              <w:t>- сельское население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</w:pPr>
            <w:r w:rsidRPr="00A6671A">
              <w:rPr>
                <w:bCs/>
              </w:rPr>
              <w:t>340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66,2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55,6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82,6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74,4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85,0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75,9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102,9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79,4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91,8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86,8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  <w:jc w:val="both"/>
            </w:pPr>
            <w:r>
              <w:t>Я й ц а, шт.</w:t>
            </w:r>
          </w:p>
          <w:p w:rsidR="00A6671A" w:rsidRDefault="00A6671A" w:rsidP="00A6671A">
            <w:pPr>
              <w:widowControl w:val="0"/>
              <w:jc w:val="both"/>
            </w:pPr>
            <w:r>
              <w:t>- городское население</w:t>
            </w:r>
          </w:p>
          <w:p w:rsidR="00A6671A" w:rsidRPr="00790F1E" w:rsidRDefault="00A6671A" w:rsidP="00A6671A">
            <w:pPr>
              <w:widowControl w:val="0"/>
              <w:jc w:val="both"/>
            </w:pPr>
            <w:r>
              <w:t>- сельское население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88,1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77,7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95,8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99,2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100,8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98,1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99,2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97,3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93,4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95,4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</w:pPr>
            <w:r>
              <w:t>Рыба и  рыбопродукты</w:t>
            </w:r>
          </w:p>
          <w:p w:rsidR="00A6671A" w:rsidRDefault="00A6671A" w:rsidP="00A6671A">
            <w:pPr>
              <w:widowControl w:val="0"/>
            </w:pPr>
            <w:r>
              <w:t>- городское население</w:t>
            </w:r>
          </w:p>
          <w:p w:rsidR="00A6671A" w:rsidRPr="00790F1E" w:rsidRDefault="00A6671A" w:rsidP="00A6671A">
            <w:pPr>
              <w:widowControl w:val="0"/>
            </w:pPr>
            <w:r>
              <w:t>- сельское население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</w:pPr>
            <w:r w:rsidRPr="00A6671A">
              <w:t>22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63,6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68,2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81,8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113,6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95,5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113,6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>
              <w:t>95,5</w:t>
            </w:r>
          </w:p>
          <w:p w:rsidR="00A6671A" w:rsidRPr="00A6671A" w:rsidRDefault="00A6671A" w:rsidP="00A6671A">
            <w:pPr>
              <w:jc w:val="center"/>
            </w:pPr>
            <w:r>
              <w:t>95,5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100,0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127,3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  <w:jc w:val="both"/>
            </w:pPr>
            <w:r>
              <w:t>Сахар и конд. Изделия</w:t>
            </w:r>
          </w:p>
          <w:p w:rsidR="00A6671A" w:rsidRDefault="00A6671A" w:rsidP="00A6671A">
            <w:pPr>
              <w:widowControl w:val="0"/>
              <w:jc w:val="both"/>
            </w:pPr>
            <w:r>
              <w:t>- городское население</w:t>
            </w:r>
          </w:p>
          <w:p w:rsidR="00A6671A" w:rsidRPr="00790F1E" w:rsidRDefault="00A6671A" w:rsidP="00A6671A">
            <w:pPr>
              <w:widowControl w:val="0"/>
              <w:jc w:val="both"/>
            </w:pPr>
            <w:r>
              <w:t>- сельское население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</w:pPr>
            <w:r w:rsidRPr="00A6671A">
              <w:rPr>
                <w:bCs/>
              </w:rPr>
              <w:t>28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114,3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139,3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157,1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210,1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128,6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157,1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125,0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150,0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125,0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>
              <w:t>142,9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A6671A" w:rsidRPr="00790F1E" w:rsidTr="00A6671A">
        <w:trPr>
          <w:jc w:val="center"/>
        </w:trPr>
        <w:tc>
          <w:tcPr>
            <w:tcW w:w="3343" w:type="dxa"/>
          </w:tcPr>
          <w:p w:rsidR="00A6671A" w:rsidRDefault="00A6671A" w:rsidP="00F33A1F">
            <w:pPr>
              <w:widowControl w:val="0"/>
              <w:jc w:val="both"/>
            </w:pPr>
            <w:r>
              <w:t>Масло растительное и др. жиры</w:t>
            </w:r>
          </w:p>
          <w:p w:rsidR="00A6671A" w:rsidRDefault="00A6671A" w:rsidP="00A6671A">
            <w:pPr>
              <w:widowControl w:val="0"/>
              <w:jc w:val="both"/>
            </w:pPr>
            <w:r>
              <w:t>- городское население</w:t>
            </w:r>
          </w:p>
          <w:p w:rsidR="00A6671A" w:rsidRPr="00790F1E" w:rsidRDefault="00A6671A" w:rsidP="00A6671A">
            <w:pPr>
              <w:widowControl w:val="0"/>
              <w:jc w:val="both"/>
            </w:pPr>
            <w:r>
              <w:t>- сельское население</w:t>
            </w:r>
          </w:p>
        </w:tc>
        <w:tc>
          <w:tcPr>
            <w:tcW w:w="1111" w:type="dxa"/>
            <w:vAlign w:val="center"/>
          </w:tcPr>
          <w:p w:rsidR="00A6671A" w:rsidRPr="00A6671A" w:rsidRDefault="00A6671A" w:rsidP="00F33A1F">
            <w:pPr>
              <w:widowControl w:val="0"/>
              <w:jc w:val="center"/>
            </w:pPr>
            <w:r w:rsidRPr="00A6671A">
              <w:rPr>
                <w:bCs/>
              </w:rPr>
              <w:t>12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>
              <w:t>108,3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t>125,0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>
              <w:t>100,0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t>116,7</w:t>
            </w:r>
          </w:p>
        </w:tc>
        <w:tc>
          <w:tcPr>
            <w:tcW w:w="876" w:type="dxa"/>
            <w:vAlign w:val="bottom"/>
          </w:tcPr>
          <w:p w:rsidR="00A6671A" w:rsidRPr="00A6671A" w:rsidRDefault="00A6671A" w:rsidP="00F33A1F">
            <w:pPr>
              <w:jc w:val="center"/>
            </w:pPr>
            <w:r>
              <w:t>91,7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 w:rsidRPr="00A6671A">
              <w:rPr>
                <w:lang w:val="en-US"/>
              </w:rPr>
              <w:t>108,3</w:t>
            </w:r>
          </w:p>
        </w:tc>
        <w:tc>
          <w:tcPr>
            <w:tcW w:w="876" w:type="dxa"/>
            <w:vAlign w:val="bottom"/>
          </w:tcPr>
          <w:p w:rsidR="00A6671A" w:rsidRDefault="00A6671A" w:rsidP="00F33A1F">
            <w:pPr>
              <w:jc w:val="center"/>
            </w:pPr>
            <w:r w:rsidRPr="00A6671A">
              <w:rPr>
                <w:lang w:val="en-US"/>
              </w:rPr>
              <w:t>100,0</w:t>
            </w:r>
          </w:p>
          <w:p w:rsidR="00A6671A" w:rsidRPr="00A6671A" w:rsidRDefault="00A6671A" w:rsidP="00F33A1F">
            <w:pPr>
              <w:jc w:val="center"/>
              <w:rPr>
                <w:color w:val="000000"/>
              </w:rPr>
            </w:pPr>
            <w:r w:rsidRPr="00A6671A">
              <w:t>116,7</w:t>
            </w:r>
          </w:p>
        </w:tc>
        <w:tc>
          <w:tcPr>
            <w:tcW w:w="1379" w:type="dxa"/>
            <w:vAlign w:val="bottom"/>
          </w:tcPr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6671A" w:rsidRDefault="00A6671A" w:rsidP="00F3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6671A" w:rsidRPr="00A6671A" w:rsidRDefault="00A6671A" w:rsidP="00A6671A">
      <w:pPr>
        <w:widowControl w:val="0"/>
        <w:spacing w:line="360" w:lineRule="auto"/>
        <w:ind w:left="709"/>
        <w:jc w:val="both"/>
        <w:rPr>
          <w:sz w:val="20"/>
          <w:szCs w:val="20"/>
        </w:rPr>
      </w:pPr>
      <w:r w:rsidRPr="00A6671A">
        <w:rPr>
          <w:sz w:val="20"/>
          <w:szCs w:val="20"/>
        </w:rPr>
        <w:t>*  - при наличии интервала указано верхнее значение нормы</w:t>
      </w:r>
    </w:p>
    <w:p w:rsidR="00A6671A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следует отметить существенное отставание уровня потребления сельским населением продовольствия, обеспечивающего белковую составляющую рациона питания: молока, мяса, яиц. С учетом изменения возрастного состава населения жителей сельских территорий и увеличения числа пенсионеров, можно предположить две основные причины выявленных различий: низкий уровень доходов, что приводит к снижению экономической доступности продовольствия и сокращения объемов производства в личных подсобных хозяйствах граждан, которое ранее делало данную группу продовольствия более доступной для сельского населения.  Отток трудоспособного населения в более крупные населенные пункты, обеспечивающие как более высокий уровень доходов, так и качественно иные условия проживания в перспективе будет только усиливать дифференциацию в качестве рациона питания между сельским и городским населением.</w:t>
      </w:r>
    </w:p>
    <w:p w:rsidR="00A6671A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зависимости потребления продовольствия от уровня среднедушевых денежных доходов подтвердил ожидаемые результаты: чем выше уровень доходов, тем ближе рациональным нормам находится фактическое потребление. Так, в группе с наиболее высокими доходами в течении всего периода исследования прослеживается тенденция роста потребления мяса и мясопродуктов, рыбы, фруктов и овощей. Рост калорийности рациона при этом компенсируется сокращением углеводной группы, прежде всего хлебопродуктов, картофеля и сахара. В группе с минимальными доходами ситуация диаметрально противоположная: сверхнормативный уровень потребления продуктов углеводной группы и крайне низкий – белковой составляющей (в отдельные годы менее 50% от нормы).</w:t>
      </w:r>
    </w:p>
    <w:p w:rsidR="00A6671A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Выявлена устойчивая зависимость между численностью домохозяйства и сбалансированностью рациона питания: наименее социально защищенным оказалось городское население – чем выше численность домохозяйства, тем менее сбалансирован рацион, в отдельных периодах можно говорить о дефиците калорийности. Для домохозяйств сельской местности эта тенденция остается актуальной до увеличения численности до пяти и более человек, далее выявлен рост потребления, что связано, скорее всего, с совместным  проживанием нескольких поколений и расширением источников доходов. При этом наихудшие показатели демонстрируют семьи с двумя и более детьми – вне зависимости от принадлежности к группе по уровню доходов, что позволяет сделать вывод о доминирующей в периоде экономической доступности продовольствия.</w:t>
      </w:r>
    </w:p>
    <w:p w:rsidR="00A6671A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исследуемого периода доля расходов на приобретение продуктов питания составляла почти 50%, к 2005 году она сократилась до 40%, а к концу периода не превышала 37,5 в среднем по региону. Но если для домохозяйств, не имеющих детей в возрасте до 16 лет, она составила при этом 7070 руб. в месяц на 1 члена домохозяйства, то в семьях с двумя и более детьми аналогичный показатель составил </w:t>
      </w:r>
      <w:r w:rsidRPr="00A6671A">
        <w:rPr>
          <w:sz w:val="28"/>
          <w:szCs w:val="28"/>
        </w:rPr>
        <w:t>всего 4910 руб., что свидетельствует о высокой дифференциации доходов в обществе</w:t>
      </w:r>
      <w:r>
        <w:rPr>
          <w:sz w:val="28"/>
          <w:szCs w:val="28"/>
        </w:rPr>
        <w:t>.</w:t>
      </w:r>
      <w:r w:rsidR="00B707F4">
        <w:rPr>
          <w:sz w:val="28"/>
          <w:szCs w:val="28"/>
        </w:rPr>
        <w:t xml:space="preserve"> </w:t>
      </w:r>
    </w:p>
    <w:p w:rsidR="00E92F22" w:rsidRPr="003E0AA7" w:rsidRDefault="00E92F22" w:rsidP="003A59FE">
      <w:pPr>
        <w:widowControl w:val="0"/>
        <w:spacing w:line="360" w:lineRule="auto"/>
      </w:pPr>
      <w:r w:rsidRPr="003E0AA7">
        <w:t>Таблица</w:t>
      </w:r>
      <w:r w:rsidR="0063471B" w:rsidRPr="003E0AA7">
        <w:t xml:space="preserve"> 4</w:t>
      </w:r>
      <w:r w:rsidRPr="003E0AA7">
        <w:t xml:space="preserve"> – </w:t>
      </w:r>
      <w:r w:rsidR="003A59FE" w:rsidRPr="003E0AA7">
        <w:t>Доходы и расходы в домохозяйствах региона, %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945"/>
        <w:gridCol w:w="945"/>
        <w:gridCol w:w="945"/>
        <w:gridCol w:w="945"/>
        <w:gridCol w:w="945"/>
        <w:gridCol w:w="945"/>
        <w:gridCol w:w="1524"/>
      </w:tblGrid>
      <w:tr w:rsidR="00E92F22" w:rsidTr="0063471B">
        <w:tc>
          <w:tcPr>
            <w:tcW w:w="3227" w:type="dxa"/>
            <w:vMerge w:val="restart"/>
          </w:tcPr>
          <w:p w:rsidR="00E92F22" w:rsidRPr="00E92F22" w:rsidRDefault="00E92F22" w:rsidP="00E92F22">
            <w:pPr>
              <w:widowControl w:val="0"/>
              <w:jc w:val="both"/>
            </w:pPr>
          </w:p>
        </w:tc>
        <w:tc>
          <w:tcPr>
            <w:tcW w:w="5670" w:type="dxa"/>
            <w:gridSpan w:val="6"/>
          </w:tcPr>
          <w:p w:rsidR="00E92F22" w:rsidRPr="00E92F22" w:rsidRDefault="00E92F22" w:rsidP="00E92F22">
            <w:pPr>
              <w:widowControl w:val="0"/>
              <w:jc w:val="center"/>
            </w:pPr>
            <w:r>
              <w:t>Годы</w:t>
            </w:r>
          </w:p>
        </w:tc>
        <w:tc>
          <w:tcPr>
            <w:tcW w:w="1524" w:type="dxa"/>
            <w:vMerge w:val="restart"/>
          </w:tcPr>
          <w:p w:rsidR="00E92F22" w:rsidRPr="00E92F22" w:rsidRDefault="00E92F22" w:rsidP="0063471B">
            <w:pPr>
              <w:widowControl w:val="0"/>
              <w:jc w:val="center"/>
            </w:pPr>
            <w:r w:rsidRPr="00E92F22">
              <w:t>201</w:t>
            </w:r>
            <w:r>
              <w:t>8</w:t>
            </w:r>
            <w:r w:rsidRPr="00E92F22">
              <w:t xml:space="preserve"> г. к 2000 г., </w:t>
            </w:r>
            <w:r w:rsidR="0063471B">
              <w:t>п.п.</w:t>
            </w:r>
          </w:p>
        </w:tc>
      </w:tr>
      <w:tr w:rsidR="00E92F22" w:rsidTr="0063471B">
        <w:tc>
          <w:tcPr>
            <w:tcW w:w="3227" w:type="dxa"/>
            <w:vMerge/>
          </w:tcPr>
          <w:p w:rsidR="00E92F22" w:rsidRPr="00E92F22" w:rsidRDefault="00E92F22" w:rsidP="00E92F22">
            <w:pPr>
              <w:widowControl w:val="0"/>
              <w:jc w:val="both"/>
            </w:pPr>
          </w:p>
        </w:tc>
        <w:tc>
          <w:tcPr>
            <w:tcW w:w="945" w:type="dxa"/>
          </w:tcPr>
          <w:p w:rsidR="00E92F22" w:rsidRPr="00E92F22" w:rsidRDefault="00E92F22">
            <w:pPr>
              <w:pStyle w:val="ac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2F22">
              <w:rPr>
                <w:rFonts w:eastAsia="Calibri"/>
                <w:color w:val="000000" w:themeColor="text1"/>
                <w:kern w:val="24"/>
              </w:rPr>
              <w:t>2000</w:t>
            </w:r>
          </w:p>
        </w:tc>
        <w:tc>
          <w:tcPr>
            <w:tcW w:w="945" w:type="dxa"/>
          </w:tcPr>
          <w:p w:rsidR="00E92F22" w:rsidRPr="00E92F22" w:rsidRDefault="00E92F22">
            <w:pPr>
              <w:pStyle w:val="ac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2F22">
              <w:rPr>
                <w:rFonts w:eastAsia="Calibri"/>
                <w:color w:val="000000" w:themeColor="text1"/>
                <w:kern w:val="24"/>
              </w:rPr>
              <w:t>2010</w:t>
            </w:r>
          </w:p>
        </w:tc>
        <w:tc>
          <w:tcPr>
            <w:tcW w:w="945" w:type="dxa"/>
          </w:tcPr>
          <w:p w:rsidR="00E92F22" w:rsidRPr="00E92F22" w:rsidRDefault="00E92F22">
            <w:pPr>
              <w:pStyle w:val="ac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2F22">
              <w:rPr>
                <w:rFonts w:eastAsia="Calibri"/>
                <w:color w:val="000000" w:themeColor="text1"/>
                <w:kern w:val="24"/>
              </w:rPr>
              <w:t>2015</w:t>
            </w:r>
          </w:p>
        </w:tc>
        <w:tc>
          <w:tcPr>
            <w:tcW w:w="945" w:type="dxa"/>
          </w:tcPr>
          <w:p w:rsidR="00E92F22" w:rsidRPr="00E92F22" w:rsidRDefault="00E92F22">
            <w:pPr>
              <w:pStyle w:val="ac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2F22">
              <w:rPr>
                <w:rFonts w:eastAsia="Calibri"/>
                <w:color w:val="000000" w:themeColor="text1"/>
                <w:kern w:val="24"/>
              </w:rPr>
              <w:t>2016</w:t>
            </w:r>
          </w:p>
        </w:tc>
        <w:tc>
          <w:tcPr>
            <w:tcW w:w="945" w:type="dxa"/>
          </w:tcPr>
          <w:p w:rsidR="00E92F22" w:rsidRPr="00E92F22" w:rsidRDefault="00E92F22">
            <w:pPr>
              <w:pStyle w:val="ac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2F22">
              <w:rPr>
                <w:rFonts w:eastAsia="Calibri"/>
                <w:color w:val="000000" w:themeColor="text1"/>
                <w:kern w:val="24"/>
              </w:rPr>
              <w:t>2017</w:t>
            </w:r>
          </w:p>
        </w:tc>
        <w:tc>
          <w:tcPr>
            <w:tcW w:w="945" w:type="dxa"/>
          </w:tcPr>
          <w:p w:rsidR="00E92F22" w:rsidRPr="00E92F22" w:rsidRDefault="00E92F22" w:rsidP="00E92F22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524" w:type="dxa"/>
            <w:vMerge/>
          </w:tcPr>
          <w:p w:rsidR="00E92F22" w:rsidRPr="00E92F22" w:rsidRDefault="00E92F22" w:rsidP="00E92F22">
            <w:pPr>
              <w:widowControl w:val="0"/>
              <w:jc w:val="center"/>
            </w:pPr>
          </w:p>
        </w:tc>
      </w:tr>
      <w:tr w:rsidR="0063471B" w:rsidTr="0063471B">
        <w:tc>
          <w:tcPr>
            <w:tcW w:w="3227" w:type="dxa"/>
          </w:tcPr>
          <w:p w:rsidR="0063471B" w:rsidRPr="00E92F22" w:rsidRDefault="0063471B" w:rsidP="00E92F22">
            <w:pPr>
              <w:widowControl w:val="0"/>
              <w:jc w:val="both"/>
            </w:pPr>
            <w:r>
              <w:t>Реальные доходы населения в % к предшествующему периоду</w:t>
            </w:r>
          </w:p>
        </w:tc>
        <w:tc>
          <w:tcPr>
            <w:tcW w:w="945" w:type="dxa"/>
            <w:vAlign w:val="center"/>
          </w:tcPr>
          <w:p w:rsidR="0063471B" w:rsidRPr="00E92F22" w:rsidRDefault="0063471B" w:rsidP="00E92F22">
            <w:pPr>
              <w:widowControl w:val="0"/>
              <w:jc w:val="center"/>
            </w:pPr>
            <w:r w:rsidRPr="0063471B">
              <w:t>120,2</w:t>
            </w:r>
          </w:p>
        </w:tc>
        <w:tc>
          <w:tcPr>
            <w:tcW w:w="945" w:type="dxa"/>
            <w:vAlign w:val="center"/>
          </w:tcPr>
          <w:p w:rsidR="0063471B" w:rsidRPr="00E92F22" w:rsidRDefault="0063471B" w:rsidP="0063471B">
            <w:pPr>
              <w:widowControl w:val="0"/>
              <w:jc w:val="center"/>
            </w:pPr>
            <w:r w:rsidRPr="0063471B">
              <w:t>10</w:t>
            </w:r>
            <w:r>
              <w:t>8</w:t>
            </w:r>
            <w:r w:rsidRPr="0063471B">
              <w:t>,</w:t>
            </w:r>
            <w:r>
              <w:t>2</w:t>
            </w:r>
          </w:p>
        </w:tc>
        <w:tc>
          <w:tcPr>
            <w:tcW w:w="945" w:type="dxa"/>
            <w:vAlign w:val="center"/>
          </w:tcPr>
          <w:p w:rsidR="0063471B" w:rsidRPr="00B25059" w:rsidRDefault="0063471B" w:rsidP="0063471B">
            <w:pPr>
              <w:jc w:val="center"/>
            </w:pPr>
            <w:r w:rsidRPr="00B25059">
              <w:t>99,3</w:t>
            </w:r>
          </w:p>
        </w:tc>
        <w:tc>
          <w:tcPr>
            <w:tcW w:w="945" w:type="dxa"/>
            <w:vAlign w:val="center"/>
          </w:tcPr>
          <w:p w:rsidR="0063471B" w:rsidRPr="00B25059" w:rsidRDefault="0063471B" w:rsidP="0063471B">
            <w:pPr>
              <w:jc w:val="center"/>
            </w:pPr>
            <w:r w:rsidRPr="00B25059">
              <w:t>99,2</w:t>
            </w:r>
          </w:p>
        </w:tc>
        <w:tc>
          <w:tcPr>
            <w:tcW w:w="945" w:type="dxa"/>
            <w:vAlign w:val="center"/>
          </w:tcPr>
          <w:p w:rsidR="0063471B" w:rsidRPr="00B25059" w:rsidRDefault="0063471B" w:rsidP="0063471B">
            <w:pPr>
              <w:jc w:val="center"/>
            </w:pPr>
            <w:r w:rsidRPr="00B25059">
              <w:t>94,2</w:t>
            </w:r>
          </w:p>
        </w:tc>
        <w:tc>
          <w:tcPr>
            <w:tcW w:w="945" w:type="dxa"/>
            <w:vAlign w:val="center"/>
          </w:tcPr>
          <w:p w:rsidR="0063471B" w:rsidRDefault="0063471B" w:rsidP="0063471B">
            <w:pPr>
              <w:jc w:val="center"/>
            </w:pPr>
            <w:r w:rsidRPr="00B25059">
              <w:t>100,6</w:t>
            </w:r>
          </w:p>
        </w:tc>
        <w:tc>
          <w:tcPr>
            <w:tcW w:w="1524" w:type="dxa"/>
            <w:vAlign w:val="center"/>
          </w:tcPr>
          <w:p w:rsidR="0063471B" w:rsidRPr="00E92F22" w:rsidRDefault="002F29AF" w:rsidP="00E92F22">
            <w:pPr>
              <w:widowControl w:val="0"/>
              <w:jc w:val="center"/>
            </w:pPr>
            <w:r>
              <w:t>-19,6</w:t>
            </w:r>
          </w:p>
        </w:tc>
      </w:tr>
      <w:tr w:rsidR="0063471B" w:rsidTr="0063471B">
        <w:tc>
          <w:tcPr>
            <w:tcW w:w="3227" w:type="dxa"/>
          </w:tcPr>
          <w:p w:rsidR="0063471B" w:rsidRPr="00E92F22" w:rsidRDefault="0063471B" w:rsidP="00E92F22">
            <w:pPr>
              <w:widowControl w:val="0"/>
              <w:jc w:val="both"/>
            </w:pPr>
            <w:r>
              <w:t>Доля населения с доходами ниже прожиточного минимума</w:t>
            </w:r>
          </w:p>
        </w:tc>
        <w:tc>
          <w:tcPr>
            <w:tcW w:w="945" w:type="dxa"/>
            <w:vAlign w:val="center"/>
          </w:tcPr>
          <w:p w:rsidR="0063471B" w:rsidRPr="00E92F22" w:rsidRDefault="0063471B" w:rsidP="00E92F22">
            <w:pPr>
              <w:widowControl w:val="0"/>
              <w:jc w:val="center"/>
            </w:pPr>
            <w:r w:rsidRPr="0063471B">
              <w:t>25,5</w:t>
            </w:r>
          </w:p>
        </w:tc>
        <w:tc>
          <w:tcPr>
            <w:tcW w:w="945" w:type="dxa"/>
            <w:vAlign w:val="center"/>
          </w:tcPr>
          <w:p w:rsidR="0063471B" w:rsidRPr="00E92F22" w:rsidRDefault="0063471B" w:rsidP="00E92F22">
            <w:pPr>
              <w:widowControl w:val="0"/>
              <w:jc w:val="center"/>
            </w:pPr>
            <w:r w:rsidRPr="0063471B">
              <w:t>16,8</w:t>
            </w:r>
          </w:p>
        </w:tc>
        <w:tc>
          <w:tcPr>
            <w:tcW w:w="945" w:type="dxa"/>
            <w:vAlign w:val="center"/>
          </w:tcPr>
          <w:p w:rsidR="0063471B" w:rsidRPr="009A2941" w:rsidRDefault="0063471B" w:rsidP="0063471B">
            <w:pPr>
              <w:jc w:val="center"/>
            </w:pPr>
            <w:r w:rsidRPr="009A2941">
              <w:t>14,5</w:t>
            </w:r>
          </w:p>
        </w:tc>
        <w:tc>
          <w:tcPr>
            <w:tcW w:w="945" w:type="dxa"/>
            <w:vAlign w:val="center"/>
          </w:tcPr>
          <w:p w:rsidR="0063471B" w:rsidRPr="009A2941" w:rsidRDefault="0063471B" w:rsidP="0063471B">
            <w:pPr>
              <w:jc w:val="center"/>
            </w:pPr>
            <w:r w:rsidRPr="009A2941">
              <w:t>13,8</w:t>
            </w:r>
          </w:p>
        </w:tc>
        <w:tc>
          <w:tcPr>
            <w:tcW w:w="945" w:type="dxa"/>
            <w:vAlign w:val="center"/>
          </w:tcPr>
          <w:p w:rsidR="0063471B" w:rsidRPr="009A2941" w:rsidRDefault="0063471B" w:rsidP="0063471B">
            <w:pPr>
              <w:jc w:val="center"/>
            </w:pPr>
            <w:r w:rsidRPr="009A2941">
              <w:t>13,9</w:t>
            </w:r>
          </w:p>
        </w:tc>
        <w:tc>
          <w:tcPr>
            <w:tcW w:w="945" w:type="dxa"/>
            <w:vAlign w:val="center"/>
          </w:tcPr>
          <w:p w:rsidR="0063471B" w:rsidRDefault="0063471B" w:rsidP="0063471B">
            <w:pPr>
              <w:jc w:val="center"/>
            </w:pPr>
            <w:r w:rsidRPr="009A2941">
              <w:t>13,6</w:t>
            </w:r>
          </w:p>
        </w:tc>
        <w:tc>
          <w:tcPr>
            <w:tcW w:w="1524" w:type="dxa"/>
            <w:vAlign w:val="center"/>
          </w:tcPr>
          <w:p w:rsidR="0063471B" w:rsidRPr="00E92F22" w:rsidRDefault="002F29AF" w:rsidP="00E92F22">
            <w:pPr>
              <w:widowControl w:val="0"/>
              <w:jc w:val="center"/>
            </w:pPr>
            <w:r>
              <w:t>-11,9</w:t>
            </w:r>
          </w:p>
        </w:tc>
      </w:tr>
      <w:tr w:rsidR="00E92F22" w:rsidTr="0063471B">
        <w:tc>
          <w:tcPr>
            <w:tcW w:w="3227" w:type="dxa"/>
          </w:tcPr>
          <w:p w:rsidR="00E92F22" w:rsidRPr="00E92F22" w:rsidRDefault="003A59FE" w:rsidP="00E92F22">
            <w:pPr>
              <w:widowControl w:val="0"/>
              <w:jc w:val="both"/>
            </w:pPr>
            <w:r>
              <w:t>Коэффициент фондов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>
              <w:t>8,0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>
              <w:t>11,7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>
              <w:t>11,1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>
              <w:t>11,5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BA1D38">
            <w:pPr>
              <w:widowControl w:val="0"/>
              <w:jc w:val="center"/>
            </w:pPr>
            <w:r>
              <w:t>10,</w:t>
            </w:r>
            <w:r w:rsidR="00BA1D38">
              <w:t>3</w:t>
            </w:r>
          </w:p>
        </w:tc>
        <w:tc>
          <w:tcPr>
            <w:tcW w:w="945" w:type="dxa"/>
            <w:vAlign w:val="center"/>
          </w:tcPr>
          <w:p w:rsidR="00E92F22" w:rsidRPr="00E92F22" w:rsidRDefault="00BA1D38" w:rsidP="00E92F22">
            <w:pPr>
              <w:widowControl w:val="0"/>
              <w:jc w:val="center"/>
            </w:pPr>
            <w:r>
              <w:t>10,2</w:t>
            </w:r>
          </w:p>
        </w:tc>
        <w:tc>
          <w:tcPr>
            <w:tcW w:w="1524" w:type="dxa"/>
            <w:vAlign w:val="center"/>
          </w:tcPr>
          <w:p w:rsidR="00E92F22" w:rsidRPr="00E92F22" w:rsidRDefault="0058223D" w:rsidP="00E92F22">
            <w:pPr>
              <w:widowControl w:val="0"/>
              <w:jc w:val="center"/>
            </w:pPr>
            <w:r>
              <w:t>2,2</w:t>
            </w:r>
          </w:p>
        </w:tc>
      </w:tr>
      <w:tr w:rsidR="00E92F22" w:rsidTr="0063471B">
        <w:tc>
          <w:tcPr>
            <w:tcW w:w="3227" w:type="dxa"/>
          </w:tcPr>
          <w:p w:rsidR="00E92F22" w:rsidRPr="00E92F22" w:rsidRDefault="003A59FE" w:rsidP="00E92F22">
            <w:pPr>
              <w:widowControl w:val="0"/>
              <w:jc w:val="both"/>
            </w:pPr>
            <w:r>
              <w:t>Доля расходов на продукты питания в общем объеме потребительских расходов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>
              <w:t>49,1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 w:rsidRPr="0063471B">
              <w:t>38,0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 w:rsidRPr="0063471B">
              <w:t>41,5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 w:rsidRPr="0063471B">
              <w:t>38,5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 w:rsidRPr="0063471B">
              <w:t>37,2</w:t>
            </w:r>
          </w:p>
        </w:tc>
        <w:tc>
          <w:tcPr>
            <w:tcW w:w="945" w:type="dxa"/>
            <w:vAlign w:val="center"/>
          </w:tcPr>
          <w:p w:rsidR="00E92F22" w:rsidRPr="00E92F22" w:rsidRDefault="0063471B" w:rsidP="00E92F22">
            <w:pPr>
              <w:widowControl w:val="0"/>
              <w:jc w:val="center"/>
            </w:pPr>
            <w:r w:rsidRPr="0063471B">
              <w:t>37,5</w:t>
            </w:r>
          </w:p>
        </w:tc>
        <w:tc>
          <w:tcPr>
            <w:tcW w:w="1524" w:type="dxa"/>
            <w:vAlign w:val="center"/>
          </w:tcPr>
          <w:p w:rsidR="00E92F22" w:rsidRPr="00E92F22" w:rsidRDefault="002F29AF" w:rsidP="00E92F22">
            <w:pPr>
              <w:widowControl w:val="0"/>
              <w:jc w:val="center"/>
            </w:pPr>
            <w:r>
              <w:t>-11,6</w:t>
            </w:r>
          </w:p>
        </w:tc>
      </w:tr>
    </w:tbl>
    <w:p w:rsidR="003E0AA7" w:rsidRPr="003E0AA7" w:rsidRDefault="003E0AA7" w:rsidP="00A6671A">
      <w:pPr>
        <w:widowControl w:val="0"/>
        <w:spacing w:line="360" w:lineRule="auto"/>
        <w:ind w:firstLine="709"/>
        <w:jc w:val="both"/>
        <w:rPr>
          <w:sz w:val="10"/>
          <w:szCs w:val="10"/>
        </w:rPr>
      </w:pPr>
    </w:p>
    <w:p w:rsidR="006C6F10" w:rsidRPr="00585C76" w:rsidRDefault="0058223D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Темпы роста реальных доходов населения устойчиво снижаются и </w:t>
      </w:r>
      <w:r w:rsidR="008E2966">
        <w:rPr>
          <w:sz w:val="28"/>
          <w:szCs w:val="28"/>
        </w:rPr>
        <w:t>последние пять лет исследуемого периода остаются ниже официального уровня инфляции, что оказывает существенное негативное воздействие на покупательную способность населения</w:t>
      </w:r>
      <w:r>
        <w:rPr>
          <w:sz w:val="28"/>
          <w:szCs w:val="28"/>
        </w:rPr>
        <w:t>.</w:t>
      </w:r>
      <w:r w:rsidR="008E2966">
        <w:rPr>
          <w:sz w:val="28"/>
          <w:szCs w:val="28"/>
        </w:rPr>
        <w:t xml:space="preserve"> Вместе с тем выявлено перераспределение доходов и формирование значительной группы домохозяйств, финансовое положение которых можно рассматривать как устойчивое, не смотря на относительно невысокие среднедушевые доходы. Следует отметить почти двукратное сокращение  доли населения с доходами ниже прожиточного минимума</w:t>
      </w:r>
      <w:r w:rsidR="006C6F10">
        <w:rPr>
          <w:sz w:val="28"/>
          <w:szCs w:val="28"/>
        </w:rPr>
        <w:t>, что в целом повышает уровень экономической безопасности территории</w:t>
      </w:r>
      <w:r w:rsidR="008E2966">
        <w:rPr>
          <w:sz w:val="28"/>
          <w:szCs w:val="28"/>
        </w:rPr>
        <w:t xml:space="preserve">. Но </w:t>
      </w:r>
      <w:r w:rsidR="006C6F10">
        <w:rPr>
          <w:sz w:val="28"/>
          <w:szCs w:val="28"/>
        </w:rPr>
        <w:t xml:space="preserve">использование в качестве порогового значения прожиточного минимума методически не оптимально, поскольку и его значение, регламентируемое специальными постановлениями, и состав минимальной потребительской корзины, положенной в основу расчета не всегда соответствуют реальным потребностям индивида, а в некоторые периоды и вовсе увязываются с текущими возможностями государственного бюджета. </w:t>
      </w:r>
    </w:p>
    <w:p w:rsidR="00E92F22" w:rsidRDefault="00585C76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Тревожным симптомом является сохранение значения коэффициента фондов выше критического по</w:t>
      </w:r>
      <w:r w:rsidR="00593FE2">
        <w:rPr>
          <w:sz w:val="28"/>
          <w:szCs w:val="28"/>
        </w:rPr>
        <w:t>рогового уровня в десять единиц (ряд специалистов считает критическим показатель в восемь единиц). Фактически это не только отражает уровень дифференциации доходов в обществе, но и является критерием оценки изменения покупательной способности населения</w:t>
      </w:r>
      <w:r w:rsidR="009F1F9C">
        <w:rPr>
          <w:sz w:val="28"/>
          <w:szCs w:val="28"/>
        </w:rPr>
        <w:t>.</w:t>
      </w:r>
      <w:r w:rsidR="00593FE2">
        <w:rPr>
          <w:sz w:val="28"/>
          <w:szCs w:val="28"/>
        </w:rPr>
        <w:t xml:space="preserve"> </w:t>
      </w:r>
      <w:r w:rsidR="007106C3">
        <w:rPr>
          <w:sz w:val="28"/>
          <w:szCs w:val="28"/>
        </w:rPr>
        <w:t>С учетом отмеченного большинством ритейлеров крупных продовольственных сетей снижения темпов прироста среднего чека и низких темпов прироста среднедушевых денежных доходов подтверждается ранее сделанные выводы и о некотором снижении уровня продовольственной безопасности семей с невысокими доходами. Фактически рост потребления ключевых продуктов питания достигается за счет улучшения качества жизни населения с доходами в</w:t>
      </w:r>
      <w:r w:rsidR="003C70BB">
        <w:rPr>
          <w:sz w:val="28"/>
          <w:szCs w:val="28"/>
        </w:rPr>
        <w:t>ыше среднего уровня, что негативно сказывается как на уровне экономической безопасности отдельных домохозяйств, так и на  экономической безопасности региона в целом.</w:t>
      </w:r>
    </w:p>
    <w:p w:rsidR="0006758C" w:rsidRDefault="003C70BB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повышения экономической доступности качественного продовольствия непосредственно связана с ростом реальных доходов населения, что в свою очередь, напрямую зависит от эффективности использования экономического потенциала территории и функционирования производственного подкомплекса, обусловленного наличием качественных, профессионально подготовленных трудовых ресурсов. Взаимозависимость функциональных элементов экономической безопасности территории принцип</w:t>
      </w:r>
      <w:r w:rsidR="0006758C">
        <w:rPr>
          <w:sz w:val="28"/>
          <w:szCs w:val="28"/>
        </w:rPr>
        <w:t>и</w:t>
      </w:r>
      <w:r>
        <w:rPr>
          <w:sz w:val="28"/>
          <w:szCs w:val="28"/>
        </w:rPr>
        <w:t>ально</w:t>
      </w:r>
      <w:r w:rsidR="0006758C">
        <w:rPr>
          <w:sz w:val="28"/>
          <w:szCs w:val="28"/>
        </w:rPr>
        <w:t xml:space="preserve"> важна для комплексной оценки регионального уровня экономической безопасности территории, что свидельствует о значимости продовольственной составляющей.</w:t>
      </w:r>
    </w:p>
    <w:p w:rsidR="0006758C" w:rsidRPr="0006758C" w:rsidRDefault="0006758C" w:rsidP="0006758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758C">
        <w:rPr>
          <w:sz w:val="28"/>
          <w:szCs w:val="28"/>
        </w:rPr>
        <w:t xml:space="preserve">Подводя итог, отметим, что </w:t>
      </w:r>
      <w:r>
        <w:rPr>
          <w:sz w:val="28"/>
          <w:szCs w:val="28"/>
        </w:rPr>
        <w:t xml:space="preserve">снижение продовольственной безопасности отдельных домохозяйств в рамках локальной территории (региона) представляет существенную угрозу </w:t>
      </w:r>
      <w:r w:rsidRPr="0006758C">
        <w:rPr>
          <w:sz w:val="28"/>
          <w:szCs w:val="28"/>
        </w:rPr>
        <w:t xml:space="preserve"> для жизненно важных интересов личности,</w:t>
      </w:r>
      <w:r>
        <w:rPr>
          <w:sz w:val="28"/>
          <w:szCs w:val="28"/>
        </w:rPr>
        <w:t xml:space="preserve"> </w:t>
      </w:r>
      <w:r w:rsidRPr="0006758C">
        <w:rPr>
          <w:sz w:val="28"/>
          <w:szCs w:val="28"/>
        </w:rPr>
        <w:t>общества и государства</w:t>
      </w:r>
      <w:r>
        <w:rPr>
          <w:sz w:val="28"/>
          <w:szCs w:val="28"/>
        </w:rPr>
        <w:t>, создавая предпосылки для</w:t>
      </w:r>
      <w:r w:rsidRPr="0006758C">
        <w:rPr>
          <w:sz w:val="28"/>
          <w:szCs w:val="28"/>
        </w:rPr>
        <w:t xml:space="preserve"> ущерб</w:t>
      </w:r>
      <w:r>
        <w:rPr>
          <w:sz w:val="28"/>
          <w:szCs w:val="28"/>
        </w:rPr>
        <w:t>а</w:t>
      </w:r>
      <w:r w:rsidRPr="0006758C">
        <w:rPr>
          <w:sz w:val="28"/>
          <w:szCs w:val="28"/>
        </w:rPr>
        <w:t xml:space="preserve"> </w:t>
      </w:r>
      <w:r>
        <w:rPr>
          <w:sz w:val="28"/>
          <w:szCs w:val="28"/>
        </w:rPr>
        <w:t>ЖВИ</w:t>
      </w:r>
      <w:r w:rsidRPr="0006758C">
        <w:rPr>
          <w:sz w:val="28"/>
          <w:szCs w:val="28"/>
        </w:rPr>
        <w:t xml:space="preserve"> основных объектов национальной безопасности без </w:t>
      </w:r>
      <w:r>
        <w:rPr>
          <w:sz w:val="28"/>
          <w:szCs w:val="28"/>
        </w:rPr>
        <w:t>целенаправленного воздействия субъектов различного уровня</w:t>
      </w:r>
      <w:r w:rsidR="00E96EB4">
        <w:rPr>
          <w:sz w:val="28"/>
          <w:szCs w:val="28"/>
        </w:rPr>
        <w:t>, формируя барьеры для устойчивого социально-экономического развития территории.</w:t>
      </w:r>
    </w:p>
    <w:p w:rsidR="009F1F9C" w:rsidRPr="003E0AA7" w:rsidRDefault="00363271" w:rsidP="007869FC">
      <w:pPr>
        <w:widowControl w:val="0"/>
        <w:spacing w:line="360" w:lineRule="auto"/>
        <w:ind w:firstLine="709"/>
        <w:jc w:val="center"/>
      </w:pPr>
      <w:r w:rsidRPr="003E0AA7">
        <w:t xml:space="preserve">Список </w:t>
      </w:r>
      <w:r w:rsidR="003E0AA7" w:rsidRPr="003E0AA7">
        <w:t>цитируемых</w:t>
      </w:r>
      <w:r w:rsidRPr="003E0AA7">
        <w:t xml:space="preserve"> источников</w:t>
      </w:r>
    </w:p>
    <w:p w:rsidR="00F33A1F" w:rsidRPr="003E0AA7" w:rsidRDefault="009F1F9C" w:rsidP="003E0AA7">
      <w:pPr>
        <w:pStyle w:val="ab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proofErr w:type="spellStart"/>
      <w:r w:rsidRPr="003E0AA7">
        <w:t>Берсенёв</w:t>
      </w:r>
      <w:proofErr w:type="spellEnd"/>
      <w:r w:rsidR="00E96EB4" w:rsidRPr="003E0AA7">
        <w:t>,</w:t>
      </w:r>
      <w:r w:rsidRPr="003E0AA7">
        <w:t xml:space="preserve"> В. Л. Ведущие центры исследования проблем экономической безопасности в России // Экономика региона. — 2019. — Т. 15, вып. 1. — С. 29-42</w:t>
      </w:r>
    </w:p>
    <w:p w:rsidR="00311A1C" w:rsidRPr="003E0AA7" w:rsidRDefault="00311A1C" w:rsidP="003E0AA7">
      <w:pPr>
        <w:pStyle w:val="ab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proofErr w:type="spellStart"/>
      <w:r w:rsidRPr="003E0AA7">
        <w:t>Воздвиженников</w:t>
      </w:r>
      <w:proofErr w:type="spellEnd"/>
      <w:r w:rsidRPr="003E0AA7">
        <w:t xml:space="preserve">, А.В. Опасность для жизненно важных интересов объектов национальной безопасности: сущность, содержание, классификация/ А.В. </w:t>
      </w:r>
      <w:proofErr w:type="spellStart"/>
      <w:r w:rsidRPr="003E0AA7">
        <w:t>Воздвиженников</w:t>
      </w:r>
      <w:proofErr w:type="spellEnd"/>
      <w:r w:rsidRPr="003E0AA7">
        <w:t xml:space="preserve">, Д.Л. </w:t>
      </w:r>
      <w:proofErr w:type="spellStart"/>
      <w:r w:rsidRPr="003E0AA7">
        <w:t>Цыбаков</w:t>
      </w:r>
      <w:proofErr w:type="spellEnd"/>
      <w:r w:rsidRPr="003E0AA7">
        <w:t xml:space="preserve"> // ВЛАСТЬ. – № 6. – 2015. </w:t>
      </w:r>
      <w:r w:rsidRPr="003E0AA7">
        <w:softHyphen/>
        <w:t>– С.94-98</w:t>
      </w:r>
    </w:p>
    <w:p w:rsidR="00311A1C" w:rsidRPr="003E0AA7" w:rsidRDefault="00311A1C" w:rsidP="003E0AA7">
      <w:pPr>
        <w:pStyle w:val="ab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3E0AA7">
        <w:t xml:space="preserve">Статистический ежегодник Вологодской области, 2018: </w:t>
      </w:r>
      <w:proofErr w:type="spellStart"/>
      <w:r w:rsidRPr="003E0AA7">
        <w:t>Стат.сб</w:t>
      </w:r>
      <w:proofErr w:type="spellEnd"/>
      <w:r w:rsidRPr="003E0AA7">
        <w:t>./</w:t>
      </w:r>
      <w:proofErr w:type="spellStart"/>
      <w:proofErr w:type="gramStart"/>
      <w:r w:rsidRPr="003E0AA7">
        <w:t>Вологдастат</w:t>
      </w:r>
      <w:proofErr w:type="spellEnd"/>
      <w:r w:rsidRPr="003E0AA7">
        <w:t>.-</w:t>
      </w:r>
      <w:proofErr w:type="gramEnd"/>
      <w:r w:rsidRPr="003E0AA7">
        <w:t xml:space="preserve">  Вологда, 2019 – 319 с.</w:t>
      </w:r>
    </w:p>
    <w:p w:rsidR="007106C3" w:rsidRPr="003E0AA7" w:rsidRDefault="00E96EB4" w:rsidP="003E0AA7">
      <w:pPr>
        <w:pStyle w:val="ab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3E0AA7">
        <w:t>Феофилова, Т.Ю. Система экономической безопасности региона: понятие и структура</w:t>
      </w:r>
      <w:r w:rsidR="00363271" w:rsidRPr="003E0AA7">
        <w:t xml:space="preserve">/ Т.Ю. Феофилова// Журнал правовых и экономических исследований. – № 4. – 2013. </w:t>
      </w:r>
      <w:r w:rsidR="00363271" w:rsidRPr="003E0AA7">
        <w:softHyphen/>
        <w:t>– С.184-188</w:t>
      </w:r>
    </w:p>
    <w:p w:rsidR="00363271" w:rsidRPr="007106C3" w:rsidRDefault="00363271" w:rsidP="00311A1C">
      <w:pPr>
        <w:pStyle w:val="ab"/>
        <w:widowControl w:val="0"/>
        <w:spacing w:line="360" w:lineRule="auto"/>
        <w:ind w:left="1774"/>
        <w:jc w:val="both"/>
        <w:rPr>
          <w:sz w:val="28"/>
          <w:szCs w:val="28"/>
        </w:rPr>
      </w:pPr>
    </w:p>
    <w:p w:rsidR="00A6671A" w:rsidRPr="00A6671A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1A" w:rsidRPr="009A30E1" w:rsidRDefault="00A6671A" w:rsidP="00A667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A6671A" w:rsidRPr="009A30E1" w:rsidSect="00B94E51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74" w:rsidRDefault="00320874" w:rsidP="009A30E1">
      <w:pPr>
        <w:spacing w:line="240" w:lineRule="auto"/>
      </w:pPr>
      <w:r>
        <w:separator/>
      </w:r>
    </w:p>
  </w:endnote>
  <w:endnote w:type="continuationSeparator" w:id="0">
    <w:p w:rsidR="00320874" w:rsidRDefault="00320874" w:rsidP="009A3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8C" w:rsidRDefault="0006758C">
    <w:pPr>
      <w:pStyle w:val="a8"/>
      <w:jc w:val="center"/>
    </w:pPr>
  </w:p>
  <w:p w:rsidR="0006758C" w:rsidRDefault="000675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74" w:rsidRDefault="00320874" w:rsidP="009A30E1">
      <w:pPr>
        <w:spacing w:line="240" w:lineRule="auto"/>
      </w:pPr>
      <w:r>
        <w:separator/>
      </w:r>
    </w:p>
  </w:footnote>
  <w:footnote w:type="continuationSeparator" w:id="0">
    <w:p w:rsidR="00320874" w:rsidRDefault="00320874" w:rsidP="009A30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48B"/>
    <w:multiLevelType w:val="hybridMultilevel"/>
    <w:tmpl w:val="4A921766"/>
    <w:lvl w:ilvl="0" w:tplc="D8A6FD84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3F2624"/>
    <w:multiLevelType w:val="hybridMultilevel"/>
    <w:tmpl w:val="9792368C"/>
    <w:lvl w:ilvl="0" w:tplc="5B70640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E1"/>
    <w:rsid w:val="00016441"/>
    <w:rsid w:val="00055099"/>
    <w:rsid w:val="0006758C"/>
    <w:rsid w:val="00185968"/>
    <w:rsid w:val="00211BAC"/>
    <w:rsid w:val="00212F7A"/>
    <w:rsid w:val="002F29AF"/>
    <w:rsid w:val="00311A1C"/>
    <w:rsid w:val="00320874"/>
    <w:rsid w:val="003427A2"/>
    <w:rsid w:val="00361458"/>
    <w:rsid w:val="00363271"/>
    <w:rsid w:val="00365958"/>
    <w:rsid w:val="003A59FE"/>
    <w:rsid w:val="003C70BB"/>
    <w:rsid w:val="003E0AA7"/>
    <w:rsid w:val="0040292C"/>
    <w:rsid w:val="004905D4"/>
    <w:rsid w:val="0058223D"/>
    <w:rsid w:val="00585C76"/>
    <w:rsid w:val="00593FE2"/>
    <w:rsid w:val="0063471B"/>
    <w:rsid w:val="0065531A"/>
    <w:rsid w:val="006C30CF"/>
    <w:rsid w:val="006C6F10"/>
    <w:rsid w:val="007106C3"/>
    <w:rsid w:val="00740AD3"/>
    <w:rsid w:val="007869FC"/>
    <w:rsid w:val="00790F1E"/>
    <w:rsid w:val="007B3995"/>
    <w:rsid w:val="0080062E"/>
    <w:rsid w:val="008C1252"/>
    <w:rsid w:val="008D1CE9"/>
    <w:rsid w:val="008E2966"/>
    <w:rsid w:val="009876AE"/>
    <w:rsid w:val="009A30E1"/>
    <w:rsid w:val="009F1F9C"/>
    <w:rsid w:val="00A25111"/>
    <w:rsid w:val="00A64C72"/>
    <w:rsid w:val="00A6671A"/>
    <w:rsid w:val="00B707F4"/>
    <w:rsid w:val="00B94E51"/>
    <w:rsid w:val="00BA1D38"/>
    <w:rsid w:val="00BB63E7"/>
    <w:rsid w:val="00BE7B81"/>
    <w:rsid w:val="00C52986"/>
    <w:rsid w:val="00C974DB"/>
    <w:rsid w:val="00CC6913"/>
    <w:rsid w:val="00CC7454"/>
    <w:rsid w:val="00D8195A"/>
    <w:rsid w:val="00E14177"/>
    <w:rsid w:val="00E66349"/>
    <w:rsid w:val="00E92F22"/>
    <w:rsid w:val="00E96EB4"/>
    <w:rsid w:val="00EF0D2D"/>
    <w:rsid w:val="00F26DE4"/>
    <w:rsid w:val="00F3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35FC"/>
  <w15:docId w15:val="{6817F227-480D-45AE-9CBC-44B710CE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30E1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30E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30E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63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3E7"/>
  </w:style>
  <w:style w:type="paragraph" w:styleId="a8">
    <w:name w:val="footer"/>
    <w:basedOn w:val="a"/>
    <w:link w:val="a9"/>
    <w:uiPriority w:val="99"/>
    <w:unhideWhenUsed/>
    <w:rsid w:val="00BB63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3E7"/>
  </w:style>
  <w:style w:type="table" w:styleId="aa">
    <w:name w:val="Table Grid"/>
    <w:basedOn w:val="a1"/>
    <w:uiPriority w:val="59"/>
    <w:rsid w:val="00790F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6671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92F2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4A1C-C828-4836-932A-5C00B09B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DNSTech</dc:creator>
  <cp:lastModifiedBy>QD450</cp:lastModifiedBy>
  <cp:revision>2</cp:revision>
  <dcterms:created xsi:type="dcterms:W3CDTF">2020-08-13T13:25:00Z</dcterms:created>
  <dcterms:modified xsi:type="dcterms:W3CDTF">2020-08-13T13:25:00Z</dcterms:modified>
</cp:coreProperties>
</file>